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146A52EC"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7E2E8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146A52EC"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7E2E8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4A6A5C48" w:rsidR="00C525EC" w:rsidRDefault="00F347A9"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Pr>
          <w:rFonts w:cs="Tahoma"/>
          <w:b/>
          <w:kern w:val="20"/>
          <w:sz w:val="24"/>
          <w:szCs w:val="22"/>
          <w:u w:val="single"/>
        </w:rPr>
        <w:t xml:space="preserve">Fixant les critères </w:t>
      </w:r>
      <w:r w:rsidR="00BC1D30">
        <w:rPr>
          <w:rFonts w:cs="Tahoma"/>
          <w:b/>
          <w:kern w:val="20"/>
          <w:sz w:val="24"/>
          <w:szCs w:val="22"/>
          <w:u w:val="single"/>
        </w:rPr>
        <w:t>d’appréciation</w:t>
      </w:r>
      <w:r>
        <w:rPr>
          <w:rFonts w:cs="Tahoma"/>
          <w:b/>
          <w:kern w:val="20"/>
          <w:sz w:val="24"/>
          <w:szCs w:val="22"/>
          <w:u w:val="single"/>
        </w:rPr>
        <w:t xml:space="preserve"> de l’entretien professionnel</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77869A1E" w:rsidR="000617BC" w:rsidRPr="00DC3775" w:rsidRDefault="00BC1D3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0AF9A20">
                <wp:simplePos x="0" y="0"/>
                <wp:positionH relativeFrom="column">
                  <wp:posOffset>1195705</wp:posOffset>
                </wp:positionH>
                <wp:positionV relativeFrom="paragraph">
                  <wp:posOffset>124460</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94.15pt;margin-top:9.8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p>
    <w:p w14:paraId="06CF2827" w14:textId="7A06F233" w:rsidR="000617BC" w:rsidRPr="00DC3775" w:rsidRDefault="005B6050"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4DFDA726" w14:textId="77777777" w:rsidR="005C0052" w:rsidRDefault="005C0052" w:rsidP="005C0052">
      <w:pPr>
        <w:outlineLvl w:val="0"/>
        <w:rPr>
          <w:rFonts w:cs="Tahoma"/>
          <w:bCs/>
          <w:kern w:val="20"/>
        </w:rPr>
      </w:pPr>
      <w:r>
        <w:rPr>
          <w:rFonts w:cs="Tahoma"/>
          <w:b/>
          <w:kern w:val="20"/>
        </w:rPr>
        <w:t xml:space="preserve">Vu </w:t>
      </w:r>
      <w:r>
        <w:rPr>
          <w:rFonts w:cs="Tahoma"/>
          <w:bCs/>
          <w:kern w:val="20"/>
        </w:rPr>
        <w:t>le Code Général des Collectivités Territoriales,</w:t>
      </w:r>
    </w:p>
    <w:p w14:paraId="17024961" w14:textId="77777777" w:rsidR="005C0052" w:rsidRDefault="005C0052" w:rsidP="005C0052">
      <w:pPr>
        <w:outlineLvl w:val="0"/>
        <w:rPr>
          <w:rFonts w:cs="Tahoma"/>
          <w:b/>
          <w:kern w:val="20"/>
        </w:rPr>
      </w:pPr>
      <w:r>
        <w:rPr>
          <w:rFonts w:cs="Tahoma"/>
          <w:b/>
          <w:kern w:val="20"/>
        </w:rPr>
        <w:t xml:space="preserve">Vu </w:t>
      </w:r>
      <w:r>
        <w:rPr>
          <w:rFonts w:cs="Tahoma"/>
          <w:bCs/>
          <w:kern w:val="20"/>
        </w:rPr>
        <w:t>le Code Général de la Fonction Publique,</w:t>
      </w:r>
    </w:p>
    <w:p w14:paraId="7844EA6F" w14:textId="4DEFA615" w:rsidR="00BC1D30" w:rsidRPr="00BC1D30" w:rsidRDefault="00BC1D30" w:rsidP="00BC1D30">
      <w:pPr>
        <w:outlineLvl w:val="0"/>
        <w:rPr>
          <w:rFonts w:cs="Tahoma"/>
          <w:bCs/>
          <w:kern w:val="20"/>
        </w:rPr>
      </w:pPr>
      <w:r w:rsidRPr="00BC1D30">
        <w:rPr>
          <w:rFonts w:cs="Tahoma"/>
          <w:b/>
          <w:kern w:val="20"/>
        </w:rPr>
        <w:t>Vu</w:t>
      </w:r>
      <w:r w:rsidRPr="00BC1D30">
        <w:rPr>
          <w:rFonts w:cs="Tahoma"/>
          <w:bCs/>
          <w:kern w:val="20"/>
        </w:rPr>
        <w:t xml:space="preserve"> la loi n° 2014-58 du 27 janvier 2014 de modernisation de l’action publique territoriale et d’affirmation des métropoles</w:t>
      </w:r>
      <w:r>
        <w:rPr>
          <w:rFonts w:cs="Tahoma"/>
          <w:bCs/>
          <w:kern w:val="20"/>
        </w:rPr>
        <w:t xml:space="preserve">, notamment son </w:t>
      </w:r>
      <w:r w:rsidRPr="00BC1D30">
        <w:rPr>
          <w:rFonts w:cs="Tahoma"/>
          <w:bCs/>
          <w:kern w:val="20"/>
        </w:rPr>
        <w:t>article 69,</w:t>
      </w:r>
    </w:p>
    <w:p w14:paraId="24A1A937" w14:textId="24316C07" w:rsidR="006154B9" w:rsidRDefault="00BC1D30" w:rsidP="006154B9">
      <w:pPr>
        <w:outlineLvl w:val="0"/>
        <w:rPr>
          <w:rFonts w:cs="Tahoma"/>
          <w:bCs/>
          <w:kern w:val="20"/>
        </w:rPr>
      </w:pPr>
      <w:r w:rsidRPr="00BC1D30">
        <w:rPr>
          <w:rFonts w:cs="Tahoma"/>
          <w:b/>
          <w:kern w:val="20"/>
        </w:rPr>
        <w:t>Vu</w:t>
      </w:r>
      <w:r w:rsidRPr="00BC1D30">
        <w:rPr>
          <w:rFonts w:cs="Tahoma"/>
          <w:bCs/>
          <w:kern w:val="20"/>
        </w:rPr>
        <w:t xml:space="preserve"> le décret n° 2014-1526 du 16 décembre 2014 relatif à l’appréciation de la valeur professionnelle des fonctionnaires territoriaux,</w:t>
      </w:r>
    </w:p>
    <w:p w14:paraId="170A05D7" w14:textId="77777777" w:rsidR="00BC1D30" w:rsidRPr="00BC1D30" w:rsidRDefault="00BC1D30" w:rsidP="006154B9">
      <w:pPr>
        <w:outlineLvl w:val="0"/>
        <w:rPr>
          <w:rFonts w:cs="Tahoma"/>
          <w:bCs/>
          <w:kern w:val="20"/>
        </w:rPr>
      </w:pPr>
    </w:p>
    <w:p w14:paraId="4441B1A7" w14:textId="08FC346C"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77777777" w:rsidR="002670C7" w:rsidRPr="007B4C69" w:rsidRDefault="002670C7"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45B60917" w14:textId="622BD8C2" w:rsidR="00AB10EC" w:rsidRDefault="00BC1D30" w:rsidP="00BC1D30">
      <w:bookmarkStart w:id="0" w:name="_Hlk84330749"/>
      <w:r w:rsidRPr="00BC1D30">
        <w:t>L’entretien professionnel est rendu obligatoire, pour l’appréciation de la valeur professionnelle des fonctionnaires territoriaux, en lieu et place de la notation. Réalisé par les supérieurs hiérarchiques directs, l’entretien professionnel s’appliquera obligatoirement pour l’évaluation des activités postérieures au 1</w:t>
      </w:r>
      <w:r w:rsidRPr="00BC1D30">
        <w:rPr>
          <w:vertAlign w:val="superscript"/>
        </w:rPr>
        <w:t>er</w:t>
      </w:r>
      <w:r w:rsidRPr="00BC1D30">
        <w:t xml:space="preserve"> janvier 2015.</w:t>
      </w:r>
    </w:p>
    <w:p w14:paraId="472776AC" w14:textId="368018B4" w:rsidR="00BC1D30" w:rsidRPr="007B4C69" w:rsidRDefault="00BC1D30" w:rsidP="00BC1D30">
      <w:r w:rsidRPr="00BC1D30">
        <w:t>La valeur professionnelle des agents sera appréciée sur la base de critères déterminés en fonction de la nature des tâches confiées et du niveau de responsabilité.</w:t>
      </w:r>
    </w:p>
    <w:p w14:paraId="7917CF90" w14:textId="051E4A5E" w:rsidR="00067E2C"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BC1D30">
        <w:rPr>
          <w:rFonts w:cs="Tahoma"/>
          <w:kern w:val="20"/>
        </w:rPr>
        <w:t>les critères d’appréciation de l’entretien professionnel.</w:t>
      </w:r>
    </w:p>
    <w:p w14:paraId="7617A5DA" w14:textId="77777777" w:rsidR="00BC1D30" w:rsidRDefault="00BC1D30" w:rsidP="00067E2C">
      <w:pPr>
        <w:spacing w:after="0"/>
        <w:outlineLvl w:val="0"/>
        <w:rPr>
          <w:rFonts w:cs="Tahoma"/>
          <w:kern w:val="20"/>
        </w:rPr>
      </w:pPr>
    </w:p>
    <w:p w14:paraId="4FF99E76" w14:textId="77777777" w:rsidR="002670C7" w:rsidRPr="007B4C69" w:rsidRDefault="002670C7" w:rsidP="00A448C7">
      <w:pPr>
        <w:spacing w:after="0"/>
        <w:outlineLvl w:val="0"/>
        <w:rPr>
          <w:rFonts w:cs="Tahoma"/>
          <w:i/>
          <w:color w:val="00B0F0"/>
        </w:rPr>
      </w:pPr>
    </w:p>
    <w:p w14:paraId="06CF2836" w14:textId="768EC38C" w:rsidR="00872E24" w:rsidRPr="00BC1D30" w:rsidRDefault="00872E24" w:rsidP="00A448C7">
      <w:pPr>
        <w:spacing w:after="0"/>
        <w:rPr>
          <w:rFonts w:cs="Tahoma"/>
          <w:b/>
          <w:kern w:val="20"/>
        </w:rPr>
      </w:pPr>
      <w:r w:rsidRPr="007B4C69">
        <w:rPr>
          <w:rFonts w:cs="Tahoma"/>
          <w:b/>
          <w:kern w:val="20"/>
        </w:rPr>
        <w:t xml:space="preserve">L’assemblée délibérante, </w:t>
      </w: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622D7544" w:rsidR="004B0F32" w:rsidRPr="006D0055" w:rsidRDefault="004B0F32" w:rsidP="008D4406">
      <w:pPr>
        <w:pStyle w:val="Paragraphedeliste"/>
        <w:numPr>
          <w:ilvl w:val="0"/>
          <w:numId w:val="14"/>
        </w:numPr>
        <w:spacing w:after="0"/>
        <w:rPr>
          <w:rFonts w:cs="Tahoma"/>
        </w:rPr>
      </w:pPr>
      <w:r>
        <w:rPr>
          <w:rFonts w:cs="Tahoma"/>
        </w:rPr>
        <w:t xml:space="preserve">D’instituer </w:t>
      </w:r>
      <w:r w:rsidR="00BC1D30">
        <w:rPr>
          <w:rFonts w:cs="Tahoma"/>
        </w:rPr>
        <w:t>les critères d’appréciation</w:t>
      </w:r>
      <w:r>
        <w:rPr>
          <w:rFonts w:cs="Tahoma"/>
        </w:rPr>
        <w:t xml:space="preserve"> selon le dispositif suivant : </w:t>
      </w:r>
    </w:p>
    <w:p w14:paraId="7202ED21" w14:textId="0E49FD60" w:rsidR="00067E2C" w:rsidRPr="00BC1D30" w:rsidRDefault="00BC1D30" w:rsidP="00BC1D30">
      <w:pPr>
        <w:spacing w:after="0"/>
        <w:rPr>
          <w:rFonts w:cs="Tahoma"/>
          <w:i/>
          <w:iCs/>
          <w:color w:val="00B0F0"/>
          <w:kern w:val="20"/>
        </w:rPr>
      </w:pPr>
      <w:r>
        <w:rPr>
          <w:rFonts w:cs="Tahoma"/>
          <w:i/>
          <w:iCs/>
          <w:color w:val="00B0F0"/>
          <w:kern w:val="20"/>
        </w:rPr>
        <w:t>Cette liste est non exhaustive, elle est à compléter/modifier.</w:t>
      </w:r>
    </w:p>
    <w:p w14:paraId="3E3666CC" w14:textId="48127B12" w:rsidR="00067E2C" w:rsidRDefault="00067E2C" w:rsidP="00067E2C">
      <w:pPr>
        <w:pStyle w:val="Paragraphedeliste"/>
        <w:spacing w:after="0"/>
        <w:ind w:left="643"/>
        <w:rPr>
          <w:rFonts w:cs="Tahoma"/>
          <w:kern w:val="20"/>
        </w:rPr>
      </w:pPr>
    </w:p>
    <w:p w14:paraId="67EE130B" w14:textId="012EE9D7" w:rsidR="00BC1D30" w:rsidRPr="00BC1D30" w:rsidRDefault="00BC1D30" w:rsidP="00BC1D30">
      <w:pPr>
        <w:spacing w:after="0"/>
        <w:rPr>
          <w:rFonts w:cs="Tahoma"/>
          <w:kern w:val="20"/>
        </w:rPr>
      </w:pPr>
      <w:r w:rsidRPr="00BC1D30">
        <w:rPr>
          <w:rFonts w:cs="Tahoma"/>
          <w:kern w:val="20"/>
        </w:rPr>
        <w:t>1</w:t>
      </w:r>
      <w:r>
        <w:rPr>
          <w:rFonts w:cs="Tahoma"/>
          <w:kern w:val="20"/>
        </w:rPr>
        <w:t>.</w:t>
      </w:r>
      <w:r w:rsidRPr="00BC1D30">
        <w:rPr>
          <w:rFonts w:cs="Tahoma"/>
          <w:kern w:val="20"/>
        </w:rPr>
        <w:t xml:space="preserve"> LES RÉSULTATS PROFESSIONNELS OBTENUS PAR L’AGENT</w:t>
      </w:r>
    </w:p>
    <w:p w14:paraId="335D6E08" w14:textId="77777777" w:rsidR="00BC1D30" w:rsidRPr="00BC1D30" w:rsidRDefault="00BC1D30" w:rsidP="00BC1D30">
      <w:pPr>
        <w:pStyle w:val="Paragraphedeliste"/>
        <w:spacing w:after="0"/>
        <w:ind w:left="643"/>
        <w:rPr>
          <w:rFonts w:cs="Tahoma"/>
          <w:kern w:val="20"/>
        </w:rPr>
      </w:pPr>
      <w:r w:rsidRPr="00BC1D30">
        <w:rPr>
          <w:rFonts w:cs="Tahoma"/>
          <w:kern w:val="20"/>
        </w:rPr>
        <w:t>-</w:t>
      </w:r>
      <w:r w:rsidRPr="00BC1D30">
        <w:rPr>
          <w:rFonts w:cs="Tahoma"/>
          <w:kern w:val="20"/>
        </w:rPr>
        <w:tab/>
        <w:t>La manière de servir/le sens du service public</w:t>
      </w:r>
    </w:p>
    <w:p w14:paraId="2252E500" w14:textId="77777777" w:rsidR="00BC1D30" w:rsidRPr="00BC1D30" w:rsidRDefault="00BC1D30" w:rsidP="00BC1D30">
      <w:pPr>
        <w:pStyle w:val="Paragraphedeliste"/>
        <w:spacing w:after="0"/>
        <w:ind w:left="643"/>
        <w:rPr>
          <w:rFonts w:cs="Tahoma"/>
          <w:kern w:val="20"/>
        </w:rPr>
      </w:pPr>
      <w:r w:rsidRPr="00BC1D30">
        <w:rPr>
          <w:rFonts w:cs="Tahoma"/>
          <w:kern w:val="20"/>
        </w:rPr>
        <w:t>-</w:t>
      </w:r>
      <w:r w:rsidRPr="00BC1D30">
        <w:rPr>
          <w:rFonts w:cs="Tahoma"/>
          <w:kern w:val="20"/>
        </w:rPr>
        <w:tab/>
        <w:t>Comportement général dans le travail</w:t>
      </w:r>
    </w:p>
    <w:p w14:paraId="6127FE66" w14:textId="4DD87C1D" w:rsidR="00BC1D30" w:rsidRPr="00BC1D30" w:rsidRDefault="00BC1D30" w:rsidP="00BC1D30">
      <w:pPr>
        <w:pStyle w:val="Paragraphedeliste"/>
        <w:spacing w:after="0"/>
        <w:ind w:left="643"/>
        <w:rPr>
          <w:rFonts w:cs="Tahoma"/>
          <w:kern w:val="20"/>
        </w:rPr>
      </w:pPr>
      <w:r w:rsidRPr="00BC1D30">
        <w:rPr>
          <w:rFonts w:cs="Tahoma"/>
          <w:kern w:val="20"/>
        </w:rPr>
        <w:t>-</w:t>
      </w:r>
      <w:r w:rsidRPr="00BC1D30">
        <w:rPr>
          <w:rFonts w:cs="Tahoma"/>
          <w:kern w:val="20"/>
        </w:rPr>
        <w:tab/>
        <w:t>Qualité du travail</w:t>
      </w:r>
    </w:p>
    <w:p w14:paraId="6E90D136" w14:textId="77777777" w:rsidR="00BC1D30" w:rsidRDefault="00BC1D30" w:rsidP="00BC1D30">
      <w:pPr>
        <w:spacing w:after="0"/>
        <w:rPr>
          <w:rFonts w:cs="Tahoma"/>
          <w:kern w:val="20"/>
        </w:rPr>
      </w:pPr>
    </w:p>
    <w:p w14:paraId="5657813F" w14:textId="7FCD7DB2" w:rsidR="00BC1D30" w:rsidRPr="00BC1D30" w:rsidRDefault="00BC1D30" w:rsidP="00BC1D30">
      <w:pPr>
        <w:spacing w:after="0"/>
        <w:rPr>
          <w:rFonts w:cs="Tahoma"/>
          <w:kern w:val="20"/>
        </w:rPr>
      </w:pPr>
      <w:r w:rsidRPr="00BC1D30">
        <w:rPr>
          <w:rFonts w:cs="Tahoma"/>
          <w:kern w:val="20"/>
        </w:rPr>
        <w:t>2</w:t>
      </w:r>
      <w:r>
        <w:rPr>
          <w:rFonts w:cs="Tahoma"/>
          <w:kern w:val="20"/>
        </w:rPr>
        <w:t>.</w:t>
      </w:r>
      <w:r w:rsidRPr="00BC1D30">
        <w:rPr>
          <w:rFonts w:cs="Tahoma"/>
          <w:kern w:val="20"/>
        </w:rPr>
        <w:t xml:space="preserve"> SAVOIRS SPECIFIQUES METIERS ET TRANSVERSAUX</w:t>
      </w:r>
    </w:p>
    <w:p w14:paraId="5579C96E" w14:textId="77777777" w:rsidR="00BC1D30" w:rsidRDefault="00BC1D30" w:rsidP="00BC1D30">
      <w:pPr>
        <w:spacing w:after="0"/>
        <w:rPr>
          <w:rFonts w:cs="Tahoma"/>
          <w:kern w:val="20"/>
        </w:rPr>
      </w:pPr>
    </w:p>
    <w:p w14:paraId="64266823" w14:textId="095C1665" w:rsidR="00BC1D30" w:rsidRPr="00BC1D30" w:rsidRDefault="00BC1D30" w:rsidP="00BC1D30">
      <w:pPr>
        <w:spacing w:after="0"/>
        <w:rPr>
          <w:rFonts w:cs="Tahoma"/>
          <w:kern w:val="20"/>
        </w:rPr>
      </w:pPr>
      <w:r w:rsidRPr="00BC1D30">
        <w:rPr>
          <w:rFonts w:cs="Tahoma"/>
          <w:kern w:val="20"/>
        </w:rPr>
        <w:t>3</w:t>
      </w:r>
      <w:r>
        <w:rPr>
          <w:rFonts w:cs="Tahoma"/>
          <w:kern w:val="20"/>
        </w:rPr>
        <w:t>.</w:t>
      </w:r>
      <w:r w:rsidRPr="00BC1D30">
        <w:rPr>
          <w:rFonts w:cs="Tahoma"/>
          <w:kern w:val="20"/>
        </w:rPr>
        <w:t xml:space="preserve"> LES QUALITÉS RELATIONNELLES</w:t>
      </w:r>
    </w:p>
    <w:p w14:paraId="07E5038D" w14:textId="77777777" w:rsidR="00BC1D30" w:rsidRDefault="00BC1D30" w:rsidP="00BC1D30">
      <w:pPr>
        <w:spacing w:after="0"/>
        <w:rPr>
          <w:rFonts w:cs="Tahoma"/>
          <w:kern w:val="20"/>
        </w:rPr>
      </w:pPr>
    </w:p>
    <w:p w14:paraId="3A3C3F52" w14:textId="2CD3E1F5" w:rsidR="00BC1D30" w:rsidRPr="00BC1D30" w:rsidRDefault="00BC1D30" w:rsidP="00BC1D30">
      <w:pPr>
        <w:spacing w:after="0"/>
        <w:rPr>
          <w:rFonts w:cs="Tahoma"/>
          <w:kern w:val="20"/>
        </w:rPr>
      </w:pPr>
      <w:r w:rsidRPr="00BC1D30">
        <w:rPr>
          <w:rFonts w:cs="Tahoma"/>
          <w:kern w:val="20"/>
        </w:rPr>
        <w:t>4</w:t>
      </w:r>
      <w:r>
        <w:rPr>
          <w:rFonts w:cs="Tahoma"/>
          <w:kern w:val="20"/>
        </w:rPr>
        <w:t>.</w:t>
      </w:r>
      <w:r w:rsidRPr="00BC1D30">
        <w:rPr>
          <w:rFonts w:cs="Tahoma"/>
          <w:kern w:val="20"/>
        </w:rPr>
        <w:t xml:space="preserve"> LA CAPACITÉ D’ENCADREMENT OU D’EXPERTISE OU, LE CAS ÉCHÉANT, À EXERCER DES FONCTIONS D’UN NIVEAU SUPÉRIEUR</w:t>
      </w:r>
    </w:p>
    <w:p w14:paraId="08084F03" w14:textId="1E29ACBD" w:rsidR="00067E2C" w:rsidRDefault="00067E2C" w:rsidP="00BC1D30">
      <w:pPr>
        <w:spacing w:after="0"/>
        <w:rPr>
          <w:rFonts w:cs="Tahoma"/>
          <w:kern w:val="20"/>
        </w:rPr>
      </w:pPr>
    </w:p>
    <w:p w14:paraId="3FD48DAD" w14:textId="14196052" w:rsidR="00BC1D30" w:rsidRPr="00BC1D30" w:rsidRDefault="00BC1D30" w:rsidP="00BC1D30">
      <w:pPr>
        <w:spacing w:after="0"/>
        <w:rPr>
          <w:rFonts w:cs="Tahoma"/>
          <w:kern w:val="20"/>
        </w:rPr>
      </w:pPr>
      <w:r>
        <w:rPr>
          <w:rFonts w:cs="Tahoma"/>
          <w:kern w:val="20"/>
        </w:rPr>
        <w:t xml:space="preserve">5. </w:t>
      </w:r>
      <w:r w:rsidRPr="00BC1D30">
        <w:rPr>
          <w:rFonts w:cs="Tahoma"/>
          <w:i/>
          <w:iCs/>
          <w:color w:val="00B0F0"/>
          <w:kern w:val="20"/>
        </w:rPr>
        <w:t>…</w:t>
      </w: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lastRenderedPageBreak/>
        <w:t>Que, sauf disposition expresse de l’assemblée délibérante prise sur un nouvel avis du Comité Social Territorial compétent, ces dispositions seront reconduites tacitement chaque année ;</w:t>
      </w:r>
    </w:p>
    <w:p w14:paraId="6220D2FE" w14:textId="77777777" w:rsidR="00067E2C" w:rsidRDefault="00067E2C"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6"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4"/>
  </w:num>
  <w:num w:numId="5">
    <w:abstractNumId w:val="24"/>
  </w:num>
  <w:num w:numId="6">
    <w:abstractNumId w:val="2"/>
  </w:num>
  <w:num w:numId="7">
    <w:abstractNumId w:val="1"/>
  </w:num>
  <w:num w:numId="8">
    <w:abstractNumId w:val="22"/>
  </w:num>
  <w:num w:numId="9">
    <w:abstractNumId w:val="17"/>
  </w:num>
  <w:num w:numId="10">
    <w:abstractNumId w:val="19"/>
  </w:num>
  <w:num w:numId="11">
    <w:abstractNumId w:val="6"/>
  </w:num>
  <w:num w:numId="12">
    <w:abstractNumId w:val="8"/>
  </w:num>
  <w:num w:numId="13">
    <w:abstractNumId w:val="10"/>
  </w:num>
  <w:num w:numId="14">
    <w:abstractNumId w:val="12"/>
  </w:num>
  <w:num w:numId="15">
    <w:abstractNumId w:val="7"/>
  </w:num>
  <w:num w:numId="16">
    <w:abstractNumId w:val="9"/>
  </w:num>
  <w:num w:numId="17">
    <w:abstractNumId w:val="23"/>
  </w:num>
  <w:num w:numId="18">
    <w:abstractNumId w:val="5"/>
  </w:num>
  <w:num w:numId="19">
    <w:abstractNumId w:val="21"/>
  </w:num>
  <w:num w:numId="20">
    <w:abstractNumId w:val="18"/>
  </w:num>
  <w:num w:numId="21">
    <w:abstractNumId w:val="16"/>
  </w:num>
  <w:num w:numId="22">
    <w:abstractNumId w:val="11"/>
  </w:num>
  <w:num w:numId="23">
    <w:abstractNumId w:val="3"/>
  </w:num>
  <w:num w:numId="24">
    <w:abstractNumId w:val="2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56684"/>
    <w:rsid w:val="00156BC9"/>
    <w:rsid w:val="001650B4"/>
    <w:rsid w:val="00187ABA"/>
    <w:rsid w:val="001921C3"/>
    <w:rsid w:val="001A2B9B"/>
    <w:rsid w:val="001A33F8"/>
    <w:rsid w:val="001B1638"/>
    <w:rsid w:val="001B3233"/>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0052"/>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E2E80"/>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1D30"/>
    <w:rsid w:val="00BC60A8"/>
    <w:rsid w:val="00BD6387"/>
    <w:rsid w:val="00BE0012"/>
    <w:rsid w:val="00BE2499"/>
    <w:rsid w:val="00C00BA0"/>
    <w:rsid w:val="00C102DE"/>
    <w:rsid w:val="00C12D6A"/>
    <w:rsid w:val="00C139A2"/>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347A9"/>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E518D"/>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D30"/>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768649995">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6</cp:revision>
  <cp:lastPrinted>2019-02-22T10:27:00Z</cp:lastPrinted>
  <dcterms:created xsi:type="dcterms:W3CDTF">2021-12-08T08:22:00Z</dcterms:created>
  <dcterms:modified xsi:type="dcterms:W3CDTF">2021-12-22T10:07:00Z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