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  <w:r>
        <w:rPr>
          <w:rFonts w:ascii="Tahoma" w:hAnsi="Tahoma" w:cs="Tahoma"/>
          <w:b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47C760FD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6C26B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47C760FD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6C26B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ascii="Tahoma" w:hAnsi="Tahoma" w:cs="Tahoma"/>
          <w:b/>
          <w:noProof/>
          <w:color w:val="365F91" w:themeColor="accent1" w:themeShade="BF"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ascii="Tahoma" w:hAnsi="Tahoma" w:cs="Tahoma"/>
          <w:b/>
          <w:color w:val="365F91" w:themeColor="accent1" w:themeShade="BF"/>
          <w:kern w:val="20"/>
        </w:rPr>
        <w:t>DELIBERATION</w:t>
      </w:r>
      <w:r w:rsidR="00A937FE" w:rsidRPr="00AC681E">
        <w:rPr>
          <w:rFonts w:ascii="Tahoma" w:hAnsi="Tahoma" w:cs="Tahoma"/>
          <w:b/>
          <w:color w:val="365F91" w:themeColor="accent1" w:themeShade="BF"/>
          <w:kern w:val="20"/>
        </w:rPr>
        <w:t xml:space="preserve"> </w:t>
      </w:r>
      <w:r w:rsidR="00961093" w:rsidRPr="00AC681E">
        <w:rPr>
          <w:rFonts w:ascii="Tahoma" w:hAnsi="Tahoma" w:cs="Tahoma"/>
          <w:b/>
          <w:color w:val="365F91" w:themeColor="accent1" w:themeShade="BF"/>
          <w:kern w:val="20"/>
        </w:rPr>
        <w:t>N</w:t>
      </w:r>
      <w:r w:rsidR="000E0521" w:rsidRPr="00AC681E">
        <w:rPr>
          <w:rFonts w:ascii="Tahoma" w:hAnsi="Tahoma" w:cs="Tahoma"/>
          <w:b/>
          <w:color w:val="365F91" w:themeColor="accent1" w:themeShade="BF"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</w:p>
    <w:p w14:paraId="39389470" w14:textId="77777777" w:rsidR="003B1227" w:rsidRDefault="003B1227" w:rsidP="004B53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</w:pPr>
      <w:r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>Instituant le régime des astreintes</w:t>
      </w:r>
    </w:p>
    <w:p w14:paraId="06CF2824" w14:textId="37119973" w:rsidR="00C525EC" w:rsidRPr="009255EF" w:rsidRDefault="003B1227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rPr>
          <w:rFonts w:ascii="Tahoma" w:hAnsi="Tahoma" w:cs="Tahoma"/>
          <w:color w:val="365F91" w:themeColor="accent1" w:themeShade="BF"/>
          <w:kern w:val="20"/>
          <w:sz w:val="24"/>
          <w:szCs w:val="22"/>
          <w:u w:val="single"/>
        </w:rPr>
      </w:pPr>
      <w:r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 xml:space="preserve"> </w:t>
      </w: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5F730B76">
                <wp:simplePos x="0" y="0"/>
                <wp:positionH relativeFrom="column">
                  <wp:posOffset>1132205</wp:posOffset>
                </wp:positionH>
                <wp:positionV relativeFrom="paragraph">
                  <wp:posOffset>19050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124DDE5E" w:rsidR="00A924F9" w:rsidRPr="00DC3775" w:rsidRDefault="000117E4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15pt;margin-top:1.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" fillcolor="#f2f2f2 [3052]" strokecolor="#bfbfbf [2412]" strokeweight=".25pt">
                <v:textbox>
                  <w:txbxContent>
                    <w:p w14:paraId="06CF288C" w14:textId="124DDE5E" w:rsidR="00A924F9" w:rsidRPr="00DC3775" w:rsidRDefault="000117E4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D" w14:textId="38795F41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709F1546" w14:textId="77777777" w:rsidR="006C26B9" w:rsidRPr="006C26B9" w:rsidRDefault="006C26B9" w:rsidP="006C26B9">
      <w:pPr>
        <w:spacing w:line="240" w:lineRule="auto"/>
        <w:outlineLvl w:val="0"/>
        <w:rPr>
          <w:rFonts w:ascii="Tahoma" w:hAnsi="Tahoma" w:cs="Tahoma"/>
          <w:bCs/>
          <w:color w:val="365F91" w:themeColor="accent1" w:themeShade="BF"/>
          <w:kern w:val="20"/>
          <w:sz w:val="20"/>
        </w:rPr>
      </w:pPr>
      <w:r w:rsidRPr="006C26B9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6C26B9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des Collectivités Territoriales,</w:t>
      </w:r>
    </w:p>
    <w:p w14:paraId="47607CAE" w14:textId="11B06E05" w:rsidR="00130F65" w:rsidRDefault="006C26B9" w:rsidP="003C45F6">
      <w:pPr>
        <w:spacing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6C26B9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6C26B9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 la Fonction Publique,</w:t>
      </w:r>
    </w:p>
    <w:p w14:paraId="5254EC78" w14:textId="4EDB2318" w:rsidR="003C45F6" w:rsidRDefault="003C45F6" w:rsidP="003C45F6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="00022741">
        <w:rPr>
          <w:rFonts w:ascii="Tahoma" w:hAnsi="Tahoma" w:cs="Tahoma"/>
          <w:color w:val="365F91" w:themeColor="accent1" w:themeShade="BF"/>
          <w:kern w:val="20"/>
          <w:sz w:val="20"/>
        </w:rPr>
        <w:t xml:space="preserve">le Décret n°2001-623 du 12 juillet 2001 </w:t>
      </w:r>
      <w:r w:rsidR="00022741" w:rsidRPr="00022741">
        <w:rPr>
          <w:rFonts w:ascii="Tahoma" w:hAnsi="Tahoma" w:cs="Tahoma"/>
          <w:color w:val="365F91" w:themeColor="accent1" w:themeShade="BF"/>
          <w:kern w:val="20"/>
          <w:sz w:val="20"/>
        </w:rPr>
        <w:t>pris pour l’application de l’article 7-1 de la loi n° 84-53 du 26 janvier 1984 et relatif à l’aménagement et à la réduction du temps de travail dans la fonction publique territoriale, notamment son article 5 précisant les règles d’organisation des astreintes dans les collectivités locales et leurs établissements publics,</w:t>
      </w:r>
    </w:p>
    <w:p w14:paraId="1EB880FB" w14:textId="32689AB6" w:rsidR="00194B49" w:rsidRPr="00194B49" w:rsidRDefault="00194B49" w:rsidP="00194B4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194B49"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  <w:t>Vu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le </w:t>
      </w:r>
      <w:r w:rsidRPr="00194B49">
        <w:rPr>
          <w:rFonts w:ascii="Tahoma" w:hAnsi="Tahoma" w:cs="Tahoma"/>
          <w:color w:val="365F91" w:themeColor="accent1" w:themeShade="BF"/>
          <w:kern w:val="20"/>
          <w:sz w:val="20"/>
        </w:rPr>
        <w:t>Décret n° 2002-147 du 7 février 2002 relatif aux modalités de rémunération ou de compensation des astreintes et des interventions de certains personnels gérés par la direction générale de l’administration du ministère de l’Intérieur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</w:p>
    <w:p w14:paraId="47DE3B8A" w14:textId="647A526F" w:rsidR="00194B49" w:rsidRPr="007B4C69" w:rsidRDefault="00194B49" w:rsidP="00194B4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194B49"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  <w:t>Vu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le </w:t>
      </w:r>
      <w:r w:rsidRPr="00194B49">
        <w:rPr>
          <w:rFonts w:ascii="Tahoma" w:hAnsi="Tahoma" w:cs="Tahoma"/>
          <w:color w:val="365F91" w:themeColor="accent1" w:themeShade="BF"/>
          <w:kern w:val="20"/>
          <w:sz w:val="20"/>
        </w:rPr>
        <w:t>Décret n° 2002-148 du 7 février 2002 relatif aux modalités de rémunération ou de compensation des permanences au profit de certains personnels gérés par la direction générale de l’administration du ministère de l’Intérieur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</w:p>
    <w:p w14:paraId="485F91FD" w14:textId="74635F1E" w:rsidR="00022741" w:rsidRPr="00022741" w:rsidRDefault="003C45F6" w:rsidP="00022741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="00022741" w:rsidRPr="00022741">
        <w:rPr>
          <w:rFonts w:ascii="Tahoma" w:hAnsi="Tahoma" w:cs="Tahoma"/>
          <w:color w:val="365F91" w:themeColor="accent1" w:themeShade="BF"/>
          <w:kern w:val="20"/>
          <w:sz w:val="20"/>
        </w:rPr>
        <w:t xml:space="preserve">le décret n° 2005-542 du 19 mai 2005 fixant les modalités de la rémunération ou de la compensation des astreintes et des permanences dans la Fonction Publique Territoriale, </w:t>
      </w:r>
    </w:p>
    <w:p w14:paraId="176B52DD" w14:textId="2344E4E1" w:rsidR="00022741" w:rsidRPr="00022741" w:rsidRDefault="00022741" w:rsidP="00022741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022741"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  <w:t>Vu</w:t>
      </w:r>
      <w:r w:rsidRPr="00022741">
        <w:rPr>
          <w:rFonts w:ascii="Tahoma" w:hAnsi="Tahoma" w:cs="Tahoma"/>
          <w:color w:val="365F91" w:themeColor="accent1" w:themeShade="BF"/>
          <w:kern w:val="20"/>
          <w:sz w:val="20"/>
        </w:rPr>
        <w:t xml:space="preserve"> le décret n° 2015-415 du 14 avril 2015 relatif à l'indemnisation des astreintes et à la compensation ou à la rémunération des interventions aux ministères chargés du développement durable et du logement, </w:t>
      </w:r>
    </w:p>
    <w:p w14:paraId="1F008718" w14:textId="250D63A2" w:rsidR="003C45F6" w:rsidRPr="007B4C69" w:rsidRDefault="00022741" w:rsidP="00022741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022741"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  <w:t>Vu</w:t>
      </w:r>
      <w:r w:rsidRPr="00022741">
        <w:rPr>
          <w:rFonts w:ascii="Tahoma" w:hAnsi="Tahoma" w:cs="Tahoma"/>
          <w:color w:val="365F91" w:themeColor="accent1" w:themeShade="BF"/>
          <w:kern w:val="20"/>
          <w:sz w:val="20"/>
        </w:rPr>
        <w:t xml:space="preserve"> l’arrêté du 14 avril 2015 fixant les montants de l'indemnité d'astreinte et la rémunération horaire des interventions aux ministères chargés du développement durable et du logement,</w:t>
      </w:r>
    </w:p>
    <w:p w14:paraId="24A1A937" w14:textId="77777777" w:rsidR="006154B9" w:rsidRPr="007B4C69" w:rsidRDefault="006154B9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441B1A7" w14:textId="2358E198" w:rsidR="002670C7" w:rsidRDefault="002670C7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l’avis du Comité </w:t>
      </w:r>
      <w:r w:rsidR="004B0F32">
        <w:rPr>
          <w:rFonts w:ascii="Tahoma" w:hAnsi="Tahoma" w:cs="Tahoma"/>
          <w:color w:val="365F91" w:themeColor="accent1" w:themeShade="BF"/>
          <w:kern w:val="20"/>
          <w:sz w:val="20"/>
        </w:rPr>
        <w:t xml:space="preserve">Social Territorial 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en date du …,</w:t>
      </w:r>
    </w:p>
    <w:p w14:paraId="23D34675" w14:textId="77777777" w:rsidR="004F2F68" w:rsidRPr="007B4C69" w:rsidRDefault="004F2F68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Considérant ce qui suit :</w:t>
      </w:r>
    </w:p>
    <w:p w14:paraId="2962B149" w14:textId="77777777" w:rsidR="006154B9" w:rsidRPr="003C1C2E" w:rsidRDefault="006154B9" w:rsidP="006154B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14"/>
          <w:szCs w:val="14"/>
        </w:rPr>
      </w:pPr>
    </w:p>
    <w:p w14:paraId="58630827" w14:textId="44E4976D" w:rsidR="00B302CB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Une période d’astreinte s’entend comme une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 période pendant laquelle l’agent, sans être à la disposition permanente et immédiate de son employeur, a l’obligation de demeurer à son domicile ou à proximité afin d’être en mesure d’intervenir pour effectuer un travail au service de sa collectivité.</w:t>
      </w:r>
    </w:p>
    <w:p w14:paraId="1092020C" w14:textId="4C654AD8" w:rsidR="00AB409A" w:rsidRPr="003C1C2E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14"/>
          <w:szCs w:val="14"/>
        </w:rPr>
      </w:pPr>
    </w:p>
    <w:p w14:paraId="4135D8E9" w14:textId="77777777" w:rsidR="00AB409A" w:rsidRPr="00AB409A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Si l’agent doit effectivement intervenir, l’intervention sera considérée comme du temps de travail effectif ainsi que, le cas échéant, le temps de déplacement aller-retour sur le lieu de travail. </w:t>
      </w:r>
    </w:p>
    <w:p w14:paraId="49CF4566" w14:textId="77777777" w:rsidR="00AB409A" w:rsidRPr="003C1C2E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14"/>
          <w:szCs w:val="14"/>
        </w:rPr>
      </w:pPr>
    </w:p>
    <w:p w14:paraId="2FA64355" w14:textId="77777777" w:rsidR="00AB409A" w:rsidRPr="00AB409A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Cette période pendant laquelle l’agent est soumis à l’obligation de demeurer à son domicile ou à proximité doit être indemnisée au moyen de l’indemnité d’astreinte ou, à défaut, donner lieu à un repos compensateur sous certaines conditions. </w:t>
      </w:r>
    </w:p>
    <w:p w14:paraId="1871CF3A" w14:textId="6C0047C8" w:rsidR="00AB409A" w:rsidRPr="003C1C2E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14"/>
          <w:szCs w:val="14"/>
        </w:rPr>
      </w:pPr>
    </w:p>
    <w:p w14:paraId="61279226" w14:textId="14AB07DE" w:rsidR="00AB409A" w:rsidRDefault="00130F65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130F65">
        <w:rPr>
          <w:rFonts w:ascii="Tahoma" w:hAnsi="Tahoma" w:cs="Tahoma"/>
          <w:color w:val="365F91" w:themeColor="accent1" w:themeShade="BF"/>
          <w:kern w:val="20"/>
          <w:sz w:val="20"/>
        </w:rPr>
        <w:t>La mise en place d’un tel dispositif, susceptible de majorer les risques professionnels et les atteintes à la santé, justifie un encadrement spécifique.</w:t>
      </w:r>
    </w:p>
    <w:p w14:paraId="00597F9B" w14:textId="77777777" w:rsidR="003C1C2E" w:rsidRPr="00AB409A" w:rsidRDefault="003C1C2E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64F51B0E" w14:textId="7DDE0B57" w:rsidR="00AB409A" w:rsidRDefault="00AB409A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I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>l appartient à l'organe délibérant, conformément aux dispositions règlementaires énoncées ci-dessus, de déterminer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par délibération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, les cas dans lesquels il est possible de recourir à des astreintes, les modalités de leur organisation 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ainsi que</w:t>
      </w:r>
      <w:r w:rsidRPr="00AB409A">
        <w:rPr>
          <w:rFonts w:ascii="Tahoma" w:hAnsi="Tahoma" w:cs="Tahoma"/>
          <w:color w:val="365F91" w:themeColor="accent1" w:themeShade="BF"/>
          <w:kern w:val="20"/>
          <w:sz w:val="20"/>
        </w:rPr>
        <w:t xml:space="preserve"> la liste des emplois concernés.</w:t>
      </w:r>
    </w:p>
    <w:p w14:paraId="4A6610D3" w14:textId="77777777" w:rsidR="00E20A45" w:rsidRPr="00B302CB" w:rsidRDefault="00E20A45" w:rsidP="00AB409A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6CF2836" w14:textId="5BA204D2" w:rsidR="00872E24" w:rsidRPr="00EB265C" w:rsidRDefault="00872E24" w:rsidP="00A448C7">
      <w:pPr>
        <w:spacing w:after="0" w:line="240" w:lineRule="auto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bookmarkStart w:id="0" w:name="_Hlk84330749"/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L’assemblée délibérante, </w:t>
      </w:r>
    </w:p>
    <w:p w14:paraId="703A65C8" w14:textId="194C6844" w:rsidR="00A82D77" w:rsidRPr="007B4C69" w:rsidRDefault="00AC681E" w:rsidP="00A82D77">
      <w:pPr>
        <w:spacing w:after="0" w:line="240" w:lineRule="auto"/>
        <w:jc w:val="center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D</w:t>
      </w:r>
      <w:r w:rsidR="00872E24"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 w:line="240" w:lineRule="auto"/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</w:pPr>
    </w:p>
    <w:p w14:paraId="22076041" w14:textId="29226F39" w:rsidR="00A15C13" w:rsidRDefault="00A15C13" w:rsidP="00A15C13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="00130F65">
        <w:rPr>
          <w:rFonts w:ascii="Tahoma" w:hAnsi="Tahoma" w:cs="Tahoma"/>
          <w:color w:val="365F91" w:themeColor="accent1" w:themeShade="BF"/>
          <w:kern w:val="20"/>
          <w:sz w:val="20"/>
        </w:rPr>
        <w:t xml:space="preserve">’instaurer </w:t>
      </w:r>
      <w:r w:rsidR="004F6862">
        <w:rPr>
          <w:rFonts w:ascii="Tahoma" w:hAnsi="Tahoma" w:cs="Tahoma"/>
          <w:color w:val="365F91" w:themeColor="accent1" w:themeShade="BF"/>
          <w:kern w:val="20"/>
          <w:sz w:val="20"/>
        </w:rPr>
        <w:t>le régime des astreintes</w:t>
      </w:r>
      <w:r w:rsidR="00130F65">
        <w:rPr>
          <w:rFonts w:ascii="Tahoma" w:hAnsi="Tahoma" w:cs="Tahoma"/>
          <w:color w:val="365F91" w:themeColor="accent1" w:themeShade="BF"/>
          <w:kern w:val="20"/>
          <w:sz w:val="20"/>
        </w:rPr>
        <w:t xml:space="preserve"> selon le dispositif suivant 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:</w:t>
      </w:r>
    </w:p>
    <w:p w14:paraId="2911AEA2" w14:textId="48C66289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DBF0E0A" w14:textId="67CA050E" w:rsidR="004F6862" w:rsidRPr="004F6862" w:rsidRDefault="004F6862" w:rsidP="004F6862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4F6862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>Article 1</w:t>
      </w:r>
      <w:r w:rsidRPr="004F6862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  <w:vertAlign w:val="superscript"/>
        </w:rPr>
        <w:t>er</w:t>
      </w:r>
      <w:r w:rsidRPr="004F6862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 xml:space="preserve"> – Motifs de recours aux astreintes</w:t>
      </w:r>
    </w:p>
    <w:p w14:paraId="4C30E797" w14:textId="0B316F37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E17C5A4" w14:textId="77777777" w:rsidR="004F6862" w:rsidRP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 xml:space="preserve">La mise en œuvre des astreintes est destinée à assurer un fonctionnement optimal des services publics dont l’intervention peut se justifier à tout moment. Il s’agit en particulier d’assurer dans des conditions adaptées la tranquillité et la sécurité publique, et de garantir la continuité des services dans les domaines où elle s’impose. </w:t>
      </w:r>
    </w:p>
    <w:p w14:paraId="3B0742B0" w14:textId="77777777" w:rsidR="004F6862" w:rsidRP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5C2A3E3" w14:textId="77777777" w:rsidR="00DC0FFA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 xml:space="preserve">La collectivité pourra recourir à la mise en place d’une astreinte dans les cas suivants :  </w:t>
      </w:r>
    </w:p>
    <w:p w14:paraId="20961AC1" w14:textId="31342AA2" w:rsidR="004F6862" w:rsidRPr="00025402" w:rsidRDefault="00025402" w:rsidP="00DC0FFA">
      <w:pPr>
        <w:pStyle w:val="Paragraphedeliste"/>
        <w:numPr>
          <w:ilvl w:val="0"/>
          <w:numId w:val="30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025402">
        <w:rPr>
          <w:rFonts w:ascii="Tahoma" w:hAnsi="Tahoma" w:cs="Tahoma"/>
          <w:i/>
          <w:iCs/>
          <w:color w:val="00B0F0"/>
          <w:kern w:val="20"/>
          <w:sz w:val="20"/>
        </w:rPr>
        <w:t>Evènements climatique (neige, inondations, etc.)</w:t>
      </w:r>
      <w:r w:rsidR="00E93FE6">
        <w:rPr>
          <w:rFonts w:ascii="Tahoma" w:hAnsi="Tahoma" w:cs="Tahoma"/>
          <w:i/>
          <w:iCs/>
          <w:color w:val="00B0F0"/>
          <w:kern w:val="20"/>
          <w:sz w:val="20"/>
        </w:rPr>
        <w:t> ;</w:t>
      </w:r>
    </w:p>
    <w:p w14:paraId="398D1629" w14:textId="743B7EE7" w:rsidR="004F6862" w:rsidRDefault="00025402" w:rsidP="004F6862">
      <w:pPr>
        <w:pStyle w:val="Paragraphedeliste"/>
        <w:numPr>
          <w:ilvl w:val="0"/>
          <w:numId w:val="30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025402">
        <w:rPr>
          <w:rFonts w:ascii="Tahoma" w:hAnsi="Tahoma" w:cs="Tahoma"/>
          <w:i/>
          <w:iCs/>
          <w:color w:val="00B0F0"/>
          <w:kern w:val="20"/>
          <w:sz w:val="20"/>
        </w:rPr>
        <w:t>Manifestations particulières (fête locale, concert, etc.)</w:t>
      </w:r>
      <w:r w:rsidR="00E93FE6">
        <w:rPr>
          <w:rFonts w:ascii="Tahoma" w:hAnsi="Tahoma" w:cs="Tahoma"/>
          <w:i/>
          <w:iCs/>
          <w:color w:val="00B0F0"/>
          <w:kern w:val="20"/>
          <w:sz w:val="20"/>
        </w:rPr>
        <w:t> ;</w:t>
      </w:r>
    </w:p>
    <w:p w14:paraId="112D3CF7" w14:textId="3C811005" w:rsidR="00025402" w:rsidRPr="00025402" w:rsidRDefault="00025402" w:rsidP="004F6862">
      <w:pPr>
        <w:pStyle w:val="Paragraphedeliste"/>
        <w:numPr>
          <w:ilvl w:val="0"/>
          <w:numId w:val="30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>
        <w:rPr>
          <w:rFonts w:ascii="Tahoma" w:hAnsi="Tahoma" w:cs="Tahoma"/>
          <w:i/>
          <w:iCs/>
          <w:color w:val="00B0F0"/>
          <w:kern w:val="20"/>
          <w:sz w:val="20"/>
        </w:rPr>
        <w:t>…</w:t>
      </w:r>
    </w:p>
    <w:p w14:paraId="7497F7A3" w14:textId="77777777" w:rsidR="004F6862" w:rsidRP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850A812" w14:textId="00D1063A" w:rsidR="004F6862" w:rsidRP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 xml:space="preserve">Les astreintes auront lieu soit : </w:t>
      </w:r>
    </w:p>
    <w:p w14:paraId="669C643B" w14:textId="77777777" w:rsidR="0094379A" w:rsidRDefault="0094379A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  <w:sectPr w:rsidR="0094379A" w:rsidSect="00300E8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991" w:bottom="1134" w:left="1701" w:header="708" w:footer="73" w:gutter="0"/>
          <w:cols w:space="708"/>
          <w:titlePg/>
          <w:docGrid w:linePitch="360"/>
        </w:sectPr>
      </w:pPr>
    </w:p>
    <w:p w14:paraId="266CE6E0" w14:textId="6CB493F1" w:rsidR="004F6862" w:rsidRPr="00DC0FFA" w:rsidRDefault="004F6862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DC0FFA">
        <w:rPr>
          <w:rFonts w:ascii="Tahoma" w:hAnsi="Tahoma" w:cs="Tahoma"/>
          <w:i/>
          <w:iCs/>
          <w:color w:val="00B0F0"/>
          <w:kern w:val="20"/>
          <w:sz w:val="20"/>
        </w:rPr>
        <w:t>Semaine complète</w:t>
      </w:r>
      <w:r w:rsidR="0037476C">
        <w:rPr>
          <w:rFonts w:ascii="Tahoma" w:hAnsi="Tahoma" w:cs="Tahoma"/>
          <w:i/>
          <w:iCs/>
          <w:color w:val="00B0F0"/>
          <w:kern w:val="20"/>
          <w:sz w:val="20"/>
        </w:rPr>
        <w:t> ;</w:t>
      </w:r>
    </w:p>
    <w:p w14:paraId="056E1AD8" w14:textId="1F6186C8" w:rsidR="004F6862" w:rsidRPr="00DC0FFA" w:rsidRDefault="004F6862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DC0FFA">
        <w:rPr>
          <w:rFonts w:ascii="Tahoma" w:hAnsi="Tahoma" w:cs="Tahoma"/>
          <w:i/>
          <w:iCs/>
          <w:color w:val="00B0F0"/>
          <w:kern w:val="20"/>
          <w:sz w:val="20"/>
        </w:rPr>
        <w:t xml:space="preserve">Du vendredi soir au lundi matin ; </w:t>
      </w:r>
    </w:p>
    <w:p w14:paraId="1DB7CCB8" w14:textId="656E17C6" w:rsidR="004F6862" w:rsidRPr="00DC0FFA" w:rsidRDefault="004F6862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DC0FFA">
        <w:rPr>
          <w:rFonts w:ascii="Tahoma" w:hAnsi="Tahoma" w:cs="Tahoma"/>
          <w:i/>
          <w:iCs/>
          <w:color w:val="00B0F0"/>
          <w:kern w:val="20"/>
          <w:sz w:val="20"/>
        </w:rPr>
        <w:t xml:space="preserve">Du lundi matin au vendredi soir ; </w:t>
      </w:r>
    </w:p>
    <w:p w14:paraId="2E996EFF" w14:textId="6433C28A" w:rsidR="004F6862" w:rsidRPr="00DC0FFA" w:rsidRDefault="004F6862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DC0FFA">
        <w:rPr>
          <w:rFonts w:ascii="Tahoma" w:hAnsi="Tahoma" w:cs="Tahoma"/>
          <w:i/>
          <w:iCs/>
          <w:color w:val="00B0F0"/>
          <w:kern w:val="20"/>
          <w:sz w:val="20"/>
        </w:rPr>
        <w:t xml:space="preserve">Samedi ; </w:t>
      </w:r>
    </w:p>
    <w:p w14:paraId="7D85E156" w14:textId="371BCBEF" w:rsidR="004F6862" w:rsidRPr="00DC0FFA" w:rsidRDefault="004F6862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DC0FFA">
        <w:rPr>
          <w:rFonts w:ascii="Tahoma" w:hAnsi="Tahoma" w:cs="Tahoma"/>
          <w:i/>
          <w:iCs/>
          <w:color w:val="00B0F0"/>
          <w:kern w:val="20"/>
          <w:sz w:val="20"/>
        </w:rPr>
        <w:t xml:space="preserve">Dimanche ou jour férié ; </w:t>
      </w:r>
    </w:p>
    <w:p w14:paraId="525DA0BB" w14:textId="1D763A29" w:rsidR="0094379A" w:rsidRPr="00EB265C" w:rsidRDefault="004F6862" w:rsidP="00DC0FFA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  <w:sectPr w:rsidR="0094379A" w:rsidRPr="00EB265C" w:rsidSect="0094379A">
          <w:type w:val="continuous"/>
          <w:pgSz w:w="11906" w:h="16838"/>
          <w:pgMar w:top="993" w:right="991" w:bottom="1134" w:left="1701" w:header="708" w:footer="73" w:gutter="0"/>
          <w:cols w:num="2" w:space="708"/>
          <w:titlePg/>
          <w:docGrid w:linePitch="360"/>
        </w:sectPr>
      </w:pPr>
      <w:r w:rsidRPr="00DC0FFA">
        <w:rPr>
          <w:rFonts w:ascii="Tahoma" w:hAnsi="Tahoma" w:cs="Tahoma"/>
          <w:i/>
          <w:iCs/>
          <w:color w:val="00B0F0"/>
          <w:kern w:val="20"/>
          <w:sz w:val="20"/>
        </w:rPr>
        <w:t>Une nuit de semaine.</w:t>
      </w:r>
    </w:p>
    <w:p w14:paraId="722911D4" w14:textId="2C9DE1E3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FEF7C49" w14:textId="26AECCE9" w:rsidR="004F6862" w:rsidRPr="004F6862" w:rsidRDefault="004F6862" w:rsidP="004F6862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4F6862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>Article 2 – Le personnel concerné</w:t>
      </w:r>
    </w:p>
    <w:p w14:paraId="1AF7CE48" w14:textId="2FB15D26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1370F8A" w14:textId="45D2D806" w:rsidR="00C70208" w:rsidRDefault="004F6862" w:rsidP="00C70208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 xml:space="preserve">Il sera possible de recourir aux astreintes pour les agents de la filière technique occupant les emplois suivants : </w:t>
      </w:r>
    </w:p>
    <w:p w14:paraId="54356272" w14:textId="77777777" w:rsidR="00C70208" w:rsidRDefault="00C70208" w:rsidP="00C70208">
      <w:pPr>
        <w:pStyle w:val="Paragraphedeliste"/>
        <w:numPr>
          <w:ilvl w:val="0"/>
          <w:numId w:val="34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  <w:sectPr w:rsidR="00C70208" w:rsidSect="00956096">
          <w:type w:val="continuous"/>
          <w:pgSz w:w="11906" w:h="16838"/>
          <w:pgMar w:top="993" w:right="991" w:bottom="1134" w:left="1701" w:header="708" w:footer="73" w:gutter="0"/>
          <w:cols w:space="708"/>
          <w:titlePg/>
          <w:docGrid w:linePitch="360"/>
        </w:sectPr>
      </w:pPr>
    </w:p>
    <w:p w14:paraId="44B646C8" w14:textId="6D6EF18B" w:rsidR="00C70208" w:rsidRDefault="00C70208" w:rsidP="00C70208">
      <w:pPr>
        <w:pStyle w:val="Paragraphedeliste"/>
        <w:numPr>
          <w:ilvl w:val="0"/>
          <w:numId w:val="34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</w:pPr>
      <w:r w:rsidRPr="00C70208">
        <w:rPr>
          <w:rFonts w:ascii="Tahoma" w:hAnsi="Tahoma" w:cs="Tahoma"/>
          <w:i/>
          <w:iCs/>
          <w:color w:val="00B0F0"/>
          <w:kern w:val="20"/>
          <w:sz w:val="20"/>
        </w:rPr>
        <w:t>Responsables des services techniques</w:t>
      </w:r>
    </w:p>
    <w:p w14:paraId="0F2F6C33" w14:textId="3C0B6429" w:rsidR="00C70208" w:rsidRPr="00C70208" w:rsidRDefault="00C70208" w:rsidP="00C70208">
      <w:pPr>
        <w:pStyle w:val="Paragraphedeliste"/>
        <w:numPr>
          <w:ilvl w:val="0"/>
          <w:numId w:val="34"/>
        </w:numPr>
        <w:spacing w:after="0" w:line="240" w:lineRule="auto"/>
        <w:rPr>
          <w:rFonts w:ascii="Tahoma" w:hAnsi="Tahoma" w:cs="Tahoma"/>
          <w:i/>
          <w:iCs/>
          <w:color w:val="00B0F0"/>
          <w:kern w:val="20"/>
          <w:sz w:val="20"/>
        </w:rPr>
        <w:sectPr w:rsidR="00C70208" w:rsidRPr="00C70208" w:rsidSect="00C70208">
          <w:type w:val="continuous"/>
          <w:pgSz w:w="11906" w:h="16838"/>
          <w:pgMar w:top="993" w:right="991" w:bottom="1134" w:left="1701" w:header="708" w:footer="73" w:gutter="0"/>
          <w:cols w:num="2" w:space="708"/>
          <w:titlePg/>
          <w:docGrid w:linePitch="360"/>
        </w:sectPr>
      </w:pPr>
      <w:r>
        <w:rPr>
          <w:rFonts w:ascii="Tahoma" w:hAnsi="Tahoma" w:cs="Tahoma"/>
          <w:i/>
          <w:iCs/>
          <w:color w:val="00B0F0"/>
          <w:kern w:val="20"/>
          <w:sz w:val="20"/>
        </w:rPr>
        <w:t>Adjoint technique</w:t>
      </w:r>
    </w:p>
    <w:p w14:paraId="32C93483" w14:textId="1F0EA07C" w:rsidR="00C70208" w:rsidRDefault="00C70208" w:rsidP="00C70208"/>
    <w:p w14:paraId="4AC1E6DA" w14:textId="02BA2E46" w:rsidR="00956096" w:rsidRPr="00956096" w:rsidRDefault="00956096" w:rsidP="00956096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956096">
        <w:rPr>
          <w:rFonts w:ascii="Tahoma" w:hAnsi="Tahoma" w:cs="Tahoma"/>
          <w:color w:val="365F91" w:themeColor="accent1" w:themeShade="BF"/>
          <w:kern w:val="20"/>
          <w:sz w:val="20"/>
        </w:rPr>
        <w:t xml:space="preserve">Il sera possible de recourir aux astreintes pour les agents de 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f</w:t>
      </w:r>
      <w:r w:rsidRPr="00956096">
        <w:rPr>
          <w:rFonts w:ascii="Tahoma" w:hAnsi="Tahoma" w:cs="Tahoma"/>
          <w:color w:val="365F91" w:themeColor="accent1" w:themeShade="BF"/>
          <w:kern w:val="20"/>
          <w:sz w:val="20"/>
        </w:rPr>
        <w:t>ilière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s autre que</w:t>
      </w:r>
      <w:r w:rsidRPr="00956096">
        <w:rPr>
          <w:rFonts w:ascii="Tahoma" w:hAnsi="Tahoma" w:cs="Tahoma"/>
          <w:color w:val="365F91" w:themeColor="accent1" w:themeShade="BF"/>
          <w:kern w:val="20"/>
          <w:sz w:val="20"/>
        </w:rPr>
        <w:t xml:space="preserve"> technique occupant les emplois suivants : </w:t>
      </w:r>
    </w:p>
    <w:p w14:paraId="16A6C1D8" w14:textId="77777777" w:rsidR="00F04E4E" w:rsidRDefault="00F04E4E" w:rsidP="00C70208">
      <w:pPr>
        <w:pStyle w:val="Paragraphedeliste"/>
        <w:numPr>
          <w:ilvl w:val="0"/>
          <w:numId w:val="35"/>
        </w:numPr>
        <w:rPr>
          <w:rFonts w:ascii="Tahoma" w:hAnsi="Tahoma" w:cs="Tahoma"/>
          <w:i/>
          <w:iCs/>
          <w:color w:val="00B0F0"/>
          <w:kern w:val="20"/>
          <w:sz w:val="20"/>
        </w:rPr>
        <w:sectPr w:rsidR="00F04E4E" w:rsidSect="0094379A">
          <w:type w:val="continuous"/>
          <w:pgSz w:w="11906" w:h="16838"/>
          <w:pgMar w:top="993" w:right="991" w:bottom="1134" w:left="1701" w:header="708" w:footer="73" w:gutter="0"/>
          <w:cols w:space="708"/>
          <w:titlePg/>
          <w:docGrid w:linePitch="360"/>
        </w:sectPr>
      </w:pPr>
    </w:p>
    <w:p w14:paraId="315415A7" w14:textId="71EC708D" w:rsidR="00C70208" w:rsidRDefault="00C70208" w:rsidP="00C70208">
      <w:pPr>
        <w:pStyle w:val="Paragraphedeliste"/>
        <w:numPr>
          <w:ilvl w:val="0"/>
          <w:numId w:val="35"/>
        </w:numPr>
        <w:rPr>
          <w:rFonts w:ascii="Tahoma" w:hAnsi="Tahoma" w:cs="Tahoma"/>
          <w:i/>
          <w:iCs/>
          <w:color w:val="00B0F0"/>
          <w:kern w:val="20"/>
          <w:sz w:val="20"/>
        </w:rPr>
      </w:pPr>
      <w:r w:rsidRPr="00C70208">
        <w:rPr>
          <w:rFonts w:ascii="Tahoma" w:hAnsi="Tahoma" w:cs="Tahoma"/>
          <w:i/>
          <w:iCs/>
          <w:color w:val="00B0F0"/>
          <w:kern w:val="20"/>
          <w:sz w:val="20"/>
        </w:rPr>
        <w:t>Directeur départemental des SDIS</w:t>
      </w:r>
    </w:p>
    <w:p w14:paraId="222A14EB" w14:textId="79857722" w:rsidR="00C70208" w:rsidRPr="00C70208" w:rsidRDefault="00F04E4E" w:rsidP="00C70208">
      <w:pPr>
        <w:pStyle w:val="Paragraphedeliste"/>
        <w:numPr>
          <w:ilvl w:val="0"/>
          <w:numId w:val="35"/>
        </w:numPr>
        <w:rPr>
          <w:rFonts w:ascii="Tahoma" w:hAnsi="Tahoma" w:cs="Tahoma"/>
          <w:i/>
          <w:iCs/>
          <w:color w:val="00B0F0"/>
          <w:kern w:val="20"/>
          <w:sz w:val="20"/>
        </w:rPr>
      </w:pPr>
      <w:r>
        <w:rPr>
          <w:rFonts w:ascii="Tahoma" w:hAnsi="Tahoma" w:cs="Tahoma"/>
          <w:i/>
          <w:iCs/>
          <w:color w:val="00B0F0"/>
          <w:kern w:val="20"/>
          <w:sz w:val="20"/>
        </w:rPr>
        <w:t>Infirmier</w:t>
      </w:r>
    </w:p>
    <w:p w14:paraId="0F8C4B12" w14:textId="77777777" w:rsidR="00F04E4E" w:rsidRDefault="00F04E4E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  <w:sectPr w:rsidR="00F04E4E" w:rsidSect="00F04E4E">
          <w:type w:val="continuous"/>
          <w:pgSz w:w="11906" w:h="16838"/>
          <w:pgMar w:top="993" w:right="991" w:bottom="1134" w:left="1701" w:header="708" w:footer="73" w:gutter="0"/>
          <w:cols w:num="2" w:space="708"/>
          <w:titlePg/>
          <w:docGrid w:linePitch="360"/>
        </w:sectPr>
      </w:pPr>
    </w:p>
    <w:p w14:paraId="6C08250E" w14:textId="77777777" w:rsidR="00BB4345" w:rsidRDefault="00BB4345" w:rsidP="004F6862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</w:p>
    <w:p w14:paraId="775C3783" w14:textId="3B9C08BE" w:rsidR="004F6862" w:rsidRPr="004F6862" w:rsidRDefault="004F6862" w:rsidP="004F6862">
      <w:pPr>
        <w:spacing w:after="0" w:line="240" w:lineRule="auto"/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</w:pPr>
      <w:r w:rsidRPr="004F6862">
        <w:rPr>
          <w:rFonts w:ascii="Tahoma" w:hAnsi="Tahoma" w:cs="Tahoma"/>
          <w:i/>
          <w:iCs/>
          <w:color w:val="365F91" w:themeColor="accent1" w:themeShade="BF"/>
          <w:kern w:val="20"/>
          <w:sz w:val="20"/>
          <w:u w:val="single"/>
        </w:rPr>
        <w:t>Article 3 – Modalité d’application</w:t>
      </w:r>
    </w:p>
    <w:p w14:paraId="528CE184" w14:textId="01B45761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E88D038" w14:textId="44E6533A" w:rsidR="004F6862" w:rsidRDefault="004F686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>Il est fix</w:t>
      </w:r>
      <w:r w:rsidR="00513EA7">
        <w:rPr>
          <w:rFonts w:ascii="Tahoma" w:hAnsi="Tahoma" w:cs="Tahoma"/>
          <w:color w:val="365F91" w:themeColor="accent1" w:themeShade="BF"/>
          <w:kern w:val="20"/>
          <w:sz w:val="20"/>
        </w:rPr>
        <w:t>é,</w:t>
      </w: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 xml:space="preserve"> comme suit</w:t>
      </w:r>
      <w:r w:rsidR="00513EA7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  <w:r w:rsidRPr="004F6862">
        <w:rPr>
          <w:rFonts w:ascii="Tahoma" w:hAnsi="Tahoma" w:cs="Tahoma"/>
          <w:color w:val="365F91" w:themeColor="accent1" w:themeShade="BF"/>
          <w:kern w:val="20"/>
          <w:sz w:val="20"/>
        </w:rPr>
        <w:t xml:space="preserve"> les modalités d'application du régime des astreintes et des interventions, pendant ces périodes, accomplies par les agents titulaires et stagiaires et agents non titulaires de la collectivité</w:t>
      </w:r>
      <w:r w:rsidR="00513EA7">
        <w:rPr>
          <w:rFonts w:ascii="Tahoma" w:hAnsi="Tahoma" w:cs="Tahoma"/>
          <w:color w:val="365F91" w:themeColor="accent1" w:themeShade="BF"/>
          <w:kern w:val="20"/>
          <w:sz w:val="20"/>
        </w:rPr>
        <w:t> :</w:t>
      </w:r>
    </w:p>
    <w:p w14:paraId="5F753ECF" w14:textId="2FF786C2" w:rsidR="00025402" w:rsidRDefault="0002540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1947"/>
        <w:gridCol w:w="1984"/>
        <w:gridCol w:w="2972"/>
      </w:tblGrid>
      <w:tr w:rsidR="00306B2E" w14:paraId="234811E2" w14:textId="77777777" w:rsidTr="00EB265C">
        <w:tc>
          <w:tcPr>
            <w:tcW w:w="2301" w:type="dxa"/>
            <w:shd w:val="clear" w:color="auto" w:fill="92CDDC" w:themeFill="accent5" w:themeFillTint="99"/>
            <w:vAlign w:val="center"/>
          </w:tcPr>
          <w:p w14:paraId="70458D8F" w14:textId="0E531C74" w:rsidR="00306B2E" w:rsidRPr="00306B2E" w:rsidRDefault="00306B2E" w:rsidP="00306B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</w:pPr>
            <w:r w:rsidRPr="00306B2E"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  <w:t>Situations donnant lieu à astreintes et interventions</w:t>
            </w:r>
          </w:p>
        </w:tc>
        <w:tc>
          <w:tcPr>
            <w:tcW w:w="1947" w:type="dxa"/>
            <w:shd w:val="clear" w:color="auto" w:fill="92CDDC" w:themeFill="accent5" w:themeFillTint="99"/>
            <w:vAlign w:val="center"/>
          </w:tcPr>
          <w:p w14:paraId="3754AD4C" w14:textId="5CC9680C" w:rsidR="00306B2E" w:rsidRPr="00306B2E" w:rsidRDefault="00306B2E" w:rsidP="00306B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</w:pPr>
            <w:r w:rsidRPr="00306B2E"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  <w:t>Services et emplois concernés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6890A4F" w14:textId="661244DF" w:rsidR="00306B2E" w:rsidRPr="00306B2E" w:rsidRDefault="00306B2E" w:rsidP="00306B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</w:pPr>
            <w:r w:rsidRPr="00306B2E"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  <w:t>Modalités d’organisation</w:t>
            </w:r>
          </w:p>
        </w:tc>
        <w:tc>
          <w:tcPr>
            <w:tcW w:w="2972" w:type="dxa"/>
            <w:shd w:val="clear" w:color="auto" w:fill="92CDDC" w:themeFill="accent5" w:themeFillTint="99"/>
            <w:vAlign w:val="center"/>
          </w:tcPr>
          <w:p w14:paraId="125D6067" w14:textId="6AB09058" w:rsidR="00306B2E" w:rsidRPr="00306B2E" w:rsidRDefault="00306B2E" w:rsidP="00306B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</w:pPr>
            <w:r w:rsidRPr="00306B2E">
              <w:rPr>
                <w:rFonts w:ascii="Tahoma" w:hAnsi="Tahoma" w:cs="Tahoma"/>
                <w:b/>
                <w:bCs/>
                <w:color w:val="244061" w:themeColor="accent1" w:themeShade="80"/>
                <w:kern w:val="20"/>
                <w:sz w:val="20"/>
              </w:rPr>
              <w:t>Modalités d’indemnisation</w:t>
            </w:r>
          </w:p>
        </w:tc>
      </w:tr>
      <w:tr w:rsidR="00EB265C" w14:paraId="3DBB1D4F" w14:textId="77777777" w:rsidTr="00EB265C">
        <w:trPr>
          <w:trHeight w:val="510"/>
        </w:trPr>
        <w:tc>
          <w:tcPr>
            <w:tcW w:w="9204" w:type="dxa"/>
            <w:gridSpan w:val="4"/>
            <w:vAlign w:val="center"/>
          </w:tcPr>
          <w:p w14:paraId="0716C8FB" w14:textId="719FC287" w:rsidR="00EB265C" w:rsidRPr="00EB265C" w:rsidRDefault="00EB265C" w:rsidP="00306B2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</w:pPr>
            <w:r w:rsidRPr="00EB265C"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  <w:t>Filière technique</w:t>
            </w:r>
            <w:r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  <w:t xml:space="preserve"> </w:t>
            </w:r>
          </w:p>
          <w:p w14:paraId="24391A85" w14:textId="0905C315" w:rsidR="00EB265C" w:rsidRPr="00EB265C" w:rsidRDefault="00EB265C" w:rsidP="00306B2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</w:pPr>
            <w:r w:rsidRPr="00EB265C"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  <w:t>(Astreintes d’exploitation, de sécurité, de décision)</w:t>
            </w:r>
          </w:p>
        </w:tc>
      </w:tr>
      <w:tr w:rsidR="00EB265C" w14:paraId="7FE5F4AD" w14:textId="77777777" w:rsidTr="00EB265C">
        <w:trPr>
          <w:trHeight w:val="510"/>
        </w:trPr>
        <w:tc>
          <w:tcPr>
            <w:tcW w:w="9204" w:type="dxa"/>
            <w:gridSpan w:val="4"/>
            <w:vAlign w:val="center"/>
          </w:tcPr>
          <w:p w14:paraId="0AA53B70" w14:textId="73E665FF" w:rsidR="00EB265C" w:rsidRPr="00EB265C" w:rsidRDefault="00EB265C" w:rsidP="00306B2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</w:pPr>
            <w:r w:rsidRPr="00EB265C"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  <w:t>Autres filières (que la filière technique)</w:t>
            </w:r>
          </w:p>
        </w:tc>
      </w:tr>
      <w:tr w:rsidR="00306B2E" w14:paraId="15B11460" w14:textId="77777777" w:rsidTr="00EB265C">
        <w:trPr>
          <w:trHeight w:val="2608"/>
        </w:trPr>
        <w:tc>
          <w:tcPr>
            <w:tcW w:w="2301" w:type="dxa"/>
            <w:vAlign w:val="center"/>
          </w:tcPr>
          <w:p w14:paraId="1EE2C300" w14:textId="0E0545DA" w:rsidR="00306B2E" w:rsidRPr="00EA70F2" w:rsidRDefault="00EA70F2" w:rsidP="00306B2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</w:pPr>
            <w:r w:rsidRPr="00EA70F2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(Nettoyage, déneigement, surveillance, …)</w:t>
            </w:r>
          </w:p>
        </w:tc>
        <w:tc>
          <w:tcPr>
            <w:tcW w:w="1947" w:type="dxa"/>
            <w:vAlign w:val="center"/>
          </w:tcPr>
          <w:p w14:paraId="2D86F5E4" w14:textId="584A14A3" w:rsidR="00956096" w:rsidRDefault="00BB4345" w:rsidP="00EB265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</w:pPr>
            <w:r w:rsidRPr="00BB4345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(Service voirie, service police municipal, service culturel, …)</w:t>
            </w:r>
          </w:p>
          <w:p w14:paraId="2D068E94" w14:textId="77777777" w:rsidR="00EB265C" w:rsidRDefault="00EB265C" w:rsidP="00EB265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</w:pPr>
          </w:p>
          <w:p w14:paraId="20F83653" w14:textId="6F9883AD" w:rsidR="00956096" w:rsidRDefault="00956096" w:rsidP="00EB265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</w:pPr>
            <w:r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 xml:space="preserve"> +</w:t>
            </w:r>
          </w:p>
          <w:p w14:paraId="490081BA" w14:textId="77777777" w:rsidR="00EB265C" w:rsidRDefault="00EB265C" w:rsidP="00EB265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</w:pPr>
          </w:p>
          <w:p w14:paraId="7C5F9DCE" w14:textId="1C6CA153" w:rsidR="00BB4345" w:rsidRPr="00BB4345" w:rsidRDefault="00BB4345" w:rsidP="00306B2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</w:pPr>
            <w:r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(</w:t>
            </w:r>
            <w:r w:rsidR="00956096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Emplois concernés</w:t>
            </w:r>
            <w:r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7B35DA9F" w14:textId="7B7CB7CC" w:rsidR="00306B2E" w:rsidRPr="00306B2E" w:rsidRDefault="00306B2E" w:rsidP="00306B2E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365F91" w:themeColor="accent1" w:themeShade="BF"/>
                <w:kern w:val="20"/>
                <w:sz w:val="20"/>
              </w:rPr>
            </w:pPr>
            <w:r w:rsidRPr="00306B2E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 xml:space="preserve">(Moyens mis à disposition, roulements, horaires, périodicité des </w:t>
            </w:r>
            <w:r w:rsidR="00EA70F2" w:rsidRPr="00306B2E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plannings</w:t>
            </w:r>
            <w:r w:rsidR="00EA70F2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,</w:t>
            </w:r>
            <w:r w:rsidR="00EA70F2" w:rsidRPr="00306B2E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 xml:space="preserve"> </w:t>
            </w:r>
            <w:r w:rsidR="00BB4345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 xml:space="preserve">missions, </w:t>
            </w:r>
            <w:r w:rsidR="00EA70F2" w:rsidRPr="00306B2E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…</w:t>
            </w:r>
            <w:r w:rsidRPr="00306B2E">
              <w:rPr>
                <w:rFonts w:ascii="Tahoma" w:hAnsi="Tahoma" w:cs="Tahoma"/>
                <w:i/>
                <w:iCs/>
                <w:color w:val="00B0F0"/>
                <w:kern w:val="20"/>
                <w:sz w:val="20"/>
              </w:rPr>
              <w:t>)</w:t>
            </w:r>
          </w:p>
        </w:tc>
        <w:tc>
          <w:tcPr>
            <w:tcW w:w="2972" w:type="dxa"/>
            <w:vAlign w:val="center"/>
          </w:tcPr>
          <w:p w14:paraId="0732E770" w14:textId="362717A9" w:rsidR="001A2DEC" w:rsidRDefault="0037476C" w:rsidP="00EB265C">
            <w:pPr>
              <w:spacing w:after="0" w:line="240" w:lineRule="auto"/>
              <w:jc w:val="center"/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</w:pPr>
            <w:r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L’astreinte fera l’objet d’une indemnisation au taux en vigueur</w:t>
            </w:r>
            <w:r w:rsidR="006D0490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ou d’un repos compensateur (uniquement pour les filières autres que technique)</w:t>
            </w:r>
            <w:r w:rsidR="00D61CBA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.</w:t>
            </w:r>
            <w:r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 </w:t>
            </w:r>
          </w:p>
          <w:p w14:paraId="14C36FF6" w14:textId="77777777" w:rsidR="00D61CBA" w:rsidRDefault="00D61CBA" w:rsidP="00EB265C">
            <w:pPr>
              <w:spacing w:after="0" w:line="240" w:lineRule="auto"/>
              <w:jc w:val="center"/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</w:pPr>
          </w:p>
          <w:p w14:paraId="5C111074" w14:textId="5886E43C" w:rsidR="00306B2E" w:rsidRDefault="00D61CBA" w:rsidP="00306B2E">
            <w:pPr>
              <w:spacing w:after="0" w:line="240" w:lineRule="auto"/>
              <w:jc w:val="center"/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</w:pPr>
            <w:r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Les</w:t>
            </w:r>
            <w:r w:rsidR="00EB265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</w:t>
            </w:r>
            <w:r w:rsidR="0037476C"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heures d’intervention effectuées par l’agent durant sa période d’astreinte</w:t>
            </w:r>
            <w:r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</w:t>
            </w:r>
            <w:r w:rsidR="0037476C"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pourront faire l’objet soit d’une indemnisation</w:t>
            </w:r>
            <w:r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,</w:t>
            </w:r>
            <w:r w:rsidR="0037476C"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en heures supplémentaires (IHTS)</w:t>
            </w:r>
            <w:r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pour </w:t>
            </w:r>
            <w:r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lastRenderedPageBreak/>
              <w:t>les agents concernés dans les conditions définie par la délibération instaurant ces indemnités ou en indemnités d’intervention pour les autres agents</w:t>
            </w:r>
            <w:r w:rsidR="0037476C"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, soit d’un repos compensateur</w:t>
            </w:r>
            <w:r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>, selon les montants et taux en vigueur.</w:t>
            </w:r>
            <w:r w:rsidR="0037476C" w:rsidRPr="0037476C">
              <w:rPr>
                <w:rFonts w:ascii="Tahoma" w:hAnsi="Tahoma" w:cs="Tahoma"/>
                <w:color w:val="365F91" w:themeColor="accent1" w:themeShade="BF"/>
                <w:kern w:val="20"/>
                <w:sz w:val="20"/>
              </w:rPr>
              <w:t xml:space="preserve"> </w:t>
            </w:r>
          </w:p>
        </w:tc>
        <w:bookmarkStart w:id="1" w:name="_GoBack"/>
        <w:bookmarkEnd w:id="1"/>
      </w:tr>
    </w:tbl>
    <w:p w14:paraId="45F9881C" w14:textId="10E76687" w:rsidR="00025402" w:rsidRDefault="0002540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855000B" w14:textId="5614490E" w:rsidR="00025402" w:rsidRDefault="000E04CF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0E04CF">
        <w:rPr>
          <w:rFonts w:ascii="Tahoma" w:hAnsi="Tahoma" w:cs="Tahoma"/>
          <w:color w:val="365F91" w:themeColor="accent1" w:themeShade="BF"/>
          <w:kern w:val="20"/>
          <w:sz w:val="20"/>
        </w:rPr>
        <w:t xml:space="preserve">Les agents seront informés au moins 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1</w:t>
      </w:r>
      <w:r w:rsidRPr="000E04CF">
        <w:rPr>
          <w:rFonts w:ascii="Tahoma" w:hAnsi="Tahoma" w:cs="Tahoma"/>
          <w:color w:val="365F91" w:themeColor="accent1" w:themeShade="BF"/>
          <w:kern w:val="20"/>
          <w:sz w:val="20"/>
        </w:rPr>
        <w:t xml:space="preserve"> mois à l’avance de leur période d’astreinte sauf situation exceptionnelle. En cas de délai de prévenance inférieur à 15 jours, l’indemnité d’astreintes sera majorée de 50 %.</w:t>
      </w:r>
    </w:p>
    <w:p w14:paraId="6E257329" w14:textId="77777777" w:rsidR="00025402" w:rsidRPr="004F6862" w:rsidRDefault="00025402" w:rsidP="004F6862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C1D513A" w14:textId="5DADF943" w:rsidR="00513EA7" w:rsidRDefault="004B0F32" w:rsidP="00513EA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60976">
        <w:rPr>
          <w:rFonts w:ascii="Tahoma" w:hAnsi="Tahoma" w:cs="Tahoma"/>
          <w:color w:val="365F91" w:themeColor="accent1" w:themeShade="BF"/>
          <w:kern w:val="20"/>
          <w:sz w:val="20"/>
        </w:rPr>
        <w:t>Que, sauf disposition expresse de l’assemblée délibérante prise sur un nouvel avis du Comité Social Territorial compétent, ces dispositions seront reconduites tacitement chaque année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 ;</w:t>
      </w:r>
    </w:p>
    <w:p w14:paraId="764067C9" w14:textId="77777777" w:rsidR="00513EA7" w:rsidRDefault="00513EA7" w:rsidP="00513EA7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B898916" w14:textId="5A14CB98" w:rsidR="00513EA7" w:rsidRDefault="00513EA7" w:rsidP="00513EA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D’inscrire au budget </w:t>
      </w:r>
      <w:r w:rsidR="001238A9"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es crédits correspondants ;</w:t>
      </w:r>
    </w:p>
    <w:p w14:paraId="0B5D2EFF" w14:textId="77777777" w:rsidR="00513EA7" w:rsidRDefault="00513EA7" w:rsidP="00513EA7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24B6C26A" w14:textId="5F3C5EE6" w:rsidR="00513EA7" w:rsidRPr="00513EA7" w:rsidRDefault="00513EA7" w:rsidP="00513EA7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D’autoriser l’autorité territoriale à signer tout acte y afférent ;</w:t>
      </w:r>
    </w:p>
    <w:p w14:paraId="16B29AD9" w14:textId="77777777" w:rsidR="00460976" w:rsidRDefault="00460976" w:rsidP="00460976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D61EB8" w14:textId="139C040E" w:rsidR="00A37282" w:rsidRPr="00460976" w:rsidRDefault="00460976" w:rsidP="00460976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="008D4406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charger l’autorité territoriale de 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veiller à la bonne exécution de c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ette délibération, qui prend effet à partir du </w:t>
      </w:r>
      <w:r w:rsidR="006D0055" w:rsidRPr="00460976">
        <w:rPr>
          <w:rFonts w:ascii="Tahoma" w:hAnsi="Tahoma" w:cs="Tahoma"/>
          <w:color w:val="00B0F0"/>
          <w:kern w:val="20"/>
          <w:sz w:val="20"/>
        </w:rPr>
        <w:t>…</w:t>
      </w:r>
      <w:r w:rsidR="005D0A2B">
        <w:rPr>
          <w:rFonts w:ascii="Tahoma" w:hAnsi="Tahoma" w:cs="Tahoma"/>
          <w:color w:val="00B0F0"/>
          <w:kern w:val="20"/>
          <w:sz w:val="20"/>
        </w:rPr>
        <w:t>………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="00A37282" w:rsidRPr="00460976">
        <w:rPr>
          <w:rFonts w:ascii="Tahoma" w:hAnsi="Tahoma" w:cs="Tahoma"/>
          <w:color w:val="365F91" w:themeColor="accent1" w:themeShade="BF"/>
          <w:kern w:val="20"/>
          <w:sz w:val="20"/>
        </w:rPr>
        <w:t>;</w:t>
      </w:r>
    </w:p>
    <w:p w14:paraId="33C1CCA0" w14:textId="77777777" w:rsidR="003C45F6" w:rsidRDefault="003C45F6" w:rsidP="00A82D77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color w:val="365F91" w:themeColor="accent1" w:themeShade="BF"/>
          <w:kern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Fait à </w:t>
      </w:r>
      <w:r w:rsidRPr="005D0A2B">
        <w:rPr>
          <w:rFonts w:ascii="Tahoma" w:hAnsi="Tahoma" w:cs="Tahoma"/>
          <w:color w:val="00B0F0"/>
          <w:kern w:val="20"/>
        </w:rPr>
        <w:t xml:space="preserve">…… </w:t>
      </w: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le </w:t>
      </w:r>
      <w:r w:rsidR="005D0A2B" w:rsidRPr="005D0A2B">
        <w:rPr>
          <w:rFonts w:ascii="Tahoma" w:hAnsi="Tahoma" w:cs="Tahoma"/>
          <w:color w:val="00B0F0"/>
          <w:kern w:val="20"/>
        </w:rPr>
        <w:t>……</w:t>
      </w:r>
      <w:r w:rsidRPr="005D0A2B">
        <w:rPr>
          <w:rFonts w:ascii="Tahoma" w:hAnsi="Tahoma"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>Le Maire</w:t>
      </w:r>
      <w:r w:rsidRPr="007B4C69">
        <w:rPr>
          <w:rFonts w:ascii="Tahoma" w:hAnsi="Tahoma" w:cs="Tahoma"/>
          <w:color w:val="5F497A"/>
          <w:kern w:val="20"/>
        </w:rPr>
        <w:t xml:space="preserve"> </w:t>
      </w:r>
      <w:r w:rsidRPr="007B4C69">
        <w:rPr>
          <w:rFonts w:ascii="Tahoma" w:hAnsi="Tahoma"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7B4C69">
        <w:rPr>
          <w:rFonts w:ascii="Tahoma" w:hAnsi="Tahoma"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ascii="Tahoma" w:hAnsi="Tahoma"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ascii="Tahoma" w:hAnsi="Tahoma" w:cs="Tahoma"/>
          <w:color w:val="5F497A"/>
        </w:rPr>
      </w:pPr>
      <w:r w:rsidRPr="007C43BC">
        <w:rPr>
          <w:rFonts w:ascii="Tahoma" w:eastAsia="Calibri" w:hAnsi="Tahoma" w:cs="Tahoma"/>
          <w:color w:val="1F497D" w:themeColor="text2"/>
          <w:kern w:val="20"/>
          <w:lang w:eastAsia="fr-FR"/>
        </w:rPr>
        <w:t>Le Maire</w:t>
      </w:r>
      <w:r w:rsidRPr="007C43BC">
        <w:rPr>
          <w:rFonts w:ascii="Tahoma" w:hAnsi="Tahoma" w:cs="Tahoma"/>
          <w:color w:val="5F497A"/>
        </w:rPr>
        <w:t xml:space="preserve"> </w:t>
      </w:r>
      <w:r w:rsidRPr="00C74017">
        <w:rPr>
          <w:rFonts w:ascii="Tahoma" w:hAnsi="Tahoma"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</w:pPr>
      <w:r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ascii="Tahoma" w:eastAsia="Calibri" w:hAnsi="Tahoma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6" w:history="1">
        <w:r w:rsidR="00937908" w:rsidRPr="00B109B6">
          <w:rPr>
            <w:rFonts w:ascii="Tahoma" w:eastAsia="Calibri" w:hAnsi="Tahoma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Transmis au représentant de l’Etat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Publié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………………</w:t>
      </w:r>
    </w:p>
    <w:sectPr w:rsidR="009A4A04" w:rsidRPr="004B0F32" w:rsidSect="0094379A">
      <w:type w:val="continuous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A2A4F3E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11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21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numPicBullet w:numPicBulletId="1">
    <w:pict>
      <v:shape id="_x0000_i1031" type="#_x0000_t75" style="width:9pt;height:9pt" o:bullet="t">
        <v:imagedata r:id="rId2" o:title="BD14515_"/>
      </v:shape>
    </w:pict>
  </w:numPicBullet>
  <w:abstractNum w:abstractNumId="0" w15:restartNumberingAfterBreak="0">
    <w:nsid w:val="044E583A"/>
    <w:multiLevelType w:val="hybridMultilevel"/>
    <w:tmpl w:val="E820A7D4"/>
    <w:lvl w:ilvl="0" w:tplc="6396C5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7C01"/>
    <w:multiLevelType w:val="hybridMultilevel"/>
    <w:tmpl w:val="C6320F04"/>
    <w:lvl w:ilvl="0" w:tplc="84D8D9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4784"/>
    <w:multiLevelType w:val="hybridMultilevel"/>
    <w:tmpl w:val="889AF978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729B1"/>
    <w:multiLevelType w:val="hybridMultilevel"/>
    <w:tmpl w:val="472CEBB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F06EB2"/>
    <w:multiLevelType w:val="hybridMultilevel"/>
    <w:tmpl w:val="6CC66C9C"/>
    <w:lvl w:ilvl="0" w:tplc="0486F9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6A13"/>
    <w:multiLevelType w:val="hybridMultilevel"/>
    <w:tmpl w:val="5796B0C2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9C48B7"/>
    <w:multiLevelType w:val="hybridMultilevel"/>
    <w:tmpl w:val="B94E648E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E639A"/>
    <w:multiLevelType w:val="hybridMultilevel"/>
    <w:tmpl w:val="C4E2BA4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"/>
  </w:num>
  <w:num w:numId="4">
    <w:abstractNumId w:val="17"/>
  </w:num>
  <w:num w:numId="5">
    <w:abstractNumId w:val="31"/>
  </w:num>
  <w:num w:numId="6">
    <w:abstractNumId w:val="3"/>
  </w:num>
  <w:num w:numId="7">
    <w:abstractNumId w:val="2"/>
  </w:num>
  <w:num w:numId="8">
    <w:abstractNumId w:val="25"/>
  </w:num>
  <w:num w:numId="9">
    <w:abstractNumId w:val="20"/>
  </w:num>
  <w:num w:numId="10">
    <w:abstractNumId w:val="22"/>
  </w:num>
  <w:num w:numId="11">
    <w:abstractNumId w:val="8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  <w:num w:numId="17">
    <w:abstractNumId w:val="26"/>
  </w:num>
  <w:num w:numId="18">
    <w:abstractNumId w:val="7"/>
  </w:num>
  <w:num w:numId="19">
    <w:abstractNumId w:val="24"/>
  </w:num>
  <w:num w:numId="20">
    <w:abstractNumId w:val="21"/>
  </w:num>
  <w:num w:numId="21">
    <w:abstractNumId w:val="19"/>
  </w:num>
  <w:num w:numId="22">
    <w:abstractNumId w:val="14"/>
  </w:num>
  <w:num w:numId="23">
    <w:abstractNumId w:val="4"/>
  </w:num>
  <w:num w:numId="24">
    <w:abstractNumId w:val="23"/>
  </w:num>
  <w:num w:numId="25">
    <w:abstractNumId w:val="34"/>
  </w:num>
  <w:num w:numId="26">
    <w:abstractNumId w:val="16"/>
  </w:num>
  <w:num w:numId="27">
    <w:abstractNumId w:val="18"/>
  </w:num>
  <w:num w:numId="28">
    <w:abstractNumId w:val="0"/>
  </w:num>
  <w:num w:numId="29">
    <w:abstractNumId w:val="28"/>
  </w:num>
  <w:num w:numId="30">
    <w:abstractNumId w:val="30"/>
  </w:num>
  <w:num w:numId="31">
    <w:abstractNumId w:val="10"/>
  </w:num>
  <w:num w:numId="32">
    <w:abstractNumId w:val="5"/>
  </w:num>
  <w:num w:numId="33">
    <w:abstractNumId w:val="33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17E4"/>
    <w:rsid w:val="000135BC"/>
    <w:rsid w:val="00022741"/>
    <w:rsid w:val="00023415"/>
    <w:rsid w:val="00024D20"/>
    <w:rsid w:val="00025402"/>
    <w:rsid w:val="000523EB"/>
    <w:rsid w:val="000540A5"/>
    <w:rsid w:val="000617BC"/>
    <w:rsid w:val="00061B4E"/>
    <w:rsid w:val="00061DF9"/>
    <w:rsid w:val="00067113"/>
    <w:rsid w:val="000672A8"/>
    <w:rsid w:val="0007072D"/>
    <w:rsid w:val="00081F9A"/>
    <w:rsid w:val="000826FB"/>
    <w:rsid w:val="000C60CF"/>
    <w:rsid w:val="000D1E61"/>
    <w:rsid w:val="000D66FB"/>
    <w:rsid w:val="000D6847"/>
    <w:rsid w:val="000E04CF"/>
    <w:rsid w:val="000E0521"/>
    <w:rsid w:val="000E145B"/>
    <w:rsid w:val="000E240C"/>
    <w:rsid w:val="000E7A9B"/>
    <w:rsid w:val="000F19D6"/>
    <w:rsid w:val="00101B14"/>
    <w:rsid w:val="00104900"/>
    <w:rsid w:val="00112575"/>
    <w:rsid w:val="001169AA"/>
    <w:rsid w:val="00120FA4"/>
    <w:rsid w:val="00121C1D"/>
    <w:rsid w:val="0012378C"/>
    <w:rsid w:val="001238A9"/>
    <w:rsid w:val="001305E8"/>
    <w:rsid w:val="00130F65"/>
    <w:rsid w:val="0014085B"/>
    <w:rsid w:val="00156684"/>
    <w:rsid w:val="00156BC9"/>
    <w:rsid w:val="001650B4"/>
    <w:rsid w:val="00187ABA"/>
    <w:rsid w:val="001921C3"/>
    <w:rsid w:val="00194B49"/>
    <w:rsid w:val="001A2B9B"/>
    <w:rsid w:val="001A2DEC"/>
    <w:rsid w:val="001A33F8"/>
    <w:rsid w:val="001B1638"/>
    <w:rsid w:val="001B3233"/>
    <w:rsid w:val="001C206D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670C7"/>
    <w:rsid w:val="0027021D"/>
    <w:rsid w:val="00273D60"/>
    <w:rsid w:val="0027703E"/>
    <w:rsid w:val="00295234"/>
    <w:rsid w:val="002A2E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06B2E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476C"/>
    <w:rsid w:val="0037634F"/>
    <w:rsid w:val="00394E0E"/>
    <w:rsid w:val="003A0E0F"/>
    <w:rsid w:val="003A4757"/>
    <w:rsid w:val="003A4CF2"/>
    <w:rsid w:val="003B0083"/>
    <w:rsid w:val="003B1227"/>
    <w:rsid w:val="003B23C9"/>
    <w:rsid w:val="003B427A"/>
    <w:rsid w:val="003C1C2E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143FD"/>
    <w:rsid w:val="004268E6"/>
    <w:rsid w:val="00433A10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53D4"/>
    <w:rsid w:val="004B6AAD"/>
    <w:rsid w:val="004C1820"/>
    <w:rsid w:val="004C201F"/>
    <w:rsid w:val="004C6047"/>
    <w:rsid w:val="004C6127"/>
    <w:rsid w:val="004E5C2D"/>
    <w:rsid w:val="004E612D"/>
    <w:rsid w:val="004F2F68"/>
    <w:rsid w:val="004F6862"/>
    <w:rsid w:val="00506FF3"/>
    <w:rsid w:val="005113C4"/>
    <w:rsid w:val="0051242B"/>
    <w:rsid w:val="0051280B"/>
    <w:rsid w:val="00513EA7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3073"/>
    <w:rsid w:val="0064254F"/>
    <w:rsid w:val="0065224F"/>
    <w:rsid w:val="00653DB6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3947"/>
    <w:rsid w:val="006A4B59"/>
    <w:rsid w:val="006B6EE6"/>
    <w:rsid w:val="006B7C8C"/>
    <w:rsid w:val="006C034B"/>
    <w:rsid w:val="006C0DBB"/>
    <w:rsid w:val="006C26B9"/>
    <w:rsid w:val="006C3DB4"/>
    <w:rsid w:val="006C56E5"/>
    <w:rsid w:val="006C5717"/>
    <w:rsid w:val="006D0055"/>
    <w:rsid w:val="006D0490"/>
    <w:rsid w:val="006D1F69"/>
    <w:rsid w:val="006D3A1F"/>
    <w:rsid w:val="006E00EE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4416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53C13"/>
    <w:rsid w:val="00865397"/>
    <w:rsid w:val="00872E24"/>
    <w:rsid w:val="008733BE"/>
    <w:rsid w:val="00875A1A"/>
    <w:rsid w:val="0088254C"/>
    <w:rsid w:val="00885845"/>
    <w:rsid w:val="00892223"/>
    <w:rsid w:val="0089368B"/>
    <w:rsid w:val="00895F26"/>
    <w:rsid w:val="008967CE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4379A"/>
    <w:rsid w:val="00950776"/>
    <w:rsid w:val="009545EE"/>
    <w:rsid w:val="00956096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15C13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B409A"/>
    <w:rsid w:val="00AC14A1"/>
    <w:rsid w:val="00AC681E"/>
    <w:rsid w:val="00AD34DF"/>
    <w:rsid w:val="00AD7E6C"/>
    <w:rsid w:val="00AE0766"/>
    <w:rsid w:val="00AF1999"/>
    <w:rsid w:val="00AF6572"/>
    <w:rsid w:val="00B10CD8"/>
    <w:rsid w:val="00B13FC8"/>
    <w:rsid w:val="00B166FB"/>
    <w:rsid w:val="00B25A2E"/>
    <w:rsid w:val="00B302CB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B4345"/>
    <w:rsid w:val="00BC60A8"/>
    <w:rsid w:val="00BD6387"/>
    <w:rsid w:val="00BE0012"/>
    <w:rsid w:val="00BE2499"/>
    <w:rsid w:val="00BF0EC1"/>
    <w:rsid w:val="00C00BA0"/>
    <w:rsid w:val="00C102DE"/>
    <w:rsid w:val="00C12D6A"/>
    <w:rsid w:val="00C139E8"/>
    <w:rsid w:val="00C16C59"/>
    <w:rsid w:val="00C257E3"/>
    <w:rsid w:val="00C262F8"/>
    <w:rsid w:val="00C3591C"/>
    <w:rsid w:val="00C366F1"/>
    <w:rsid w:val="00C43178"/>
    <w:rsid w:val="00C50E34"/>
    <w:rsid w:val="00C525EC"/>
    <w:rsid w:val="00C62977"/>
    <w:rsid w:val="00C70208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C1FF5"/>
    <w:rsid w:val="00CD1B3E"/>
    <w:rsid w:val="00CD314E"/>
    <w:rsid w:val="00CF1532"/>
    <w:rsid w:val="00CF54F8"/>
    <w:rsid w:val="00D15D66"/>
    <w:rsid w:val="00D352A5"/>
    <w:rsid w:val="00D41CAA"/>
    <w:rsid w:val="00D44124"/>
    <w:rsid w:val="00D54E63"/>
    <w:rsid w:val="00D562F8"/>
    <w:rsid w:val="00D6002B"/>
    <w:rsid w:val="00D60D81"/>
    <w:rsid w:val="00D61CBA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0FF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104AA"/>
    <w:rsid w:val="00E16CC2"/>
    <w:rsid w:val="00E20A45"/>
    <w:rsid w:val="00E25035"/>
    <w:rsid w:val="00E27274"/>
    <w:rsid w:val="00E31954"/>
    <w:rsid w:val="00E33830"/>
    <w:rsid w:val="00E43984"/>
    <w:rsid w:val="00E45463"/>
    <w:rsid w:val="00E53CAC"/>
    <w:rsid w:val="00E6352D"/>
    <w:rsid w:val="00E675FA"/>
    <w:rsid w:val="00E70603"/>
    <w:rsid w:val="00E70892"/>
    <w:rsid w:val="00E72FD3"/>
    <w:rsid w:val="00E748E8"/>
    <w:rsid w:val="00E7507F"/>
    <w:rsid w:val="00E75959"/>
    <w:rsid w:val="00E84F67"/>
    <w:rsid w:val="00E93FE6"/>
    <w:rsid w:val="00E962DA"/>
    <w:rsid w:val="00EA123E"/>
    <w:rsid w:val="00EA4CE8"/>
    <w:rsid w:val="00EA70F2"/>
    <w:rsid w:val="00EB0B4F"/>
    <w:rsid w:val="00EB265C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04E4E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734416"/>
    <w:rPr>
      <w:rFonts w:ascii="Tahoma" w:hAnsi="Tahoma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lerecours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98782-EE2F-40DC-A8FB-65B492BF91C5}">
  <ds:schemaRefs>
    <ds:schemaRef ds:uri="cac6c717-0427-41df-8cbf-34a1150a5cf1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39CEBC-96D3-4FC9-990D-847274F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BELMONT Théo</cp:lastModifiedBy>
  <cp:revision>31</cp:revision>
  <cp:lastPrinted>2019-02-22T10:27:00Z</cp:lastPrinted>
  <dcterms:created xsi:type="dcterms:W3CDTF">2021-11-23T07:42:00Z</dcterms:created>
  <dcterms:modified xsi:type="dcterms:W3CDTF">2022-05-05T09:56:00Z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