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r>
        <w:rPr>
          <w:rFonts w:ascii="Tahoma" w:hAnsi="Tahoma" w:cs="Tahoma"/>
          <w:b/>
          <w:noProof/>
          <w:color w:val="365F91" w:themeColor="accent1" w:themeShade="B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49CF5FD4"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2307E6">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49CF5FD4"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2307E6">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ascii="Tahoma" w:hAnsi="Tahoma" w:cs="Tahoma"/>
          <w:b/>
          <w:noProof/>
          <w:color w:val="365F91" w:themeColor="accent1" w:themeShade="B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ascii="Tahoma" w:hAnsi="Tahoma" w:cs="Tahoma"/>
          <w:b/>
          <w:color w:val="365F91" w:themeColor="accent1" w:themeShade="BF"/>
          <w:kern w:val="20"/>
        </w:rPr>
        <w:t>DELIBERATION</w:t>
      </w:r>
      <w:r w:rsidR="00A937FE" w:rsidRPr="00AC681E">
        <w:rPr>
          <w:rFonts w:ascii="Tahoma" w:hAnsi="Tahoma" w:cs="Tahoma"/>
          <w:b/>
          <w:color w:val="365F91" w:themeColor="accent1" w:themeShade="BF"/>
          <w:kern w:val="20"/>
        </w:rPr>
        <w:t xml:space="preserve"> </w:t>
      </w:r>
      <w:r w:rsidR="00961093" w:rsidRPr="00AC681E">
        <w:rPr>
          <w:rFonts w:ascii="Tahoma" w:hAnsi="Tahoma" w:cs="Tahoma"/>
          <w:b/>
          <w:color w:val="365F91" w:themeColor="accent1" w:themeShade="BF"/>
          <w:kern w:val="20"/>
        </w:rPr>
        <w:t>N</w:t>
      </w:r>
      <w:r w:rsidR="000E0521" w:rsidRPr="00AC681E">
        <w:rPr>
          <w:rFonts w:ascii="Tahoma" w:hAnsi="Tahoma" w:cs="Tahoma"/>
          <w:b/>
          <w:color w:val="365F91" w:themeColor="accent1" w:themeShade="BF"/>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p>
    <w:p w14:paraId="39389470" w14:textId="1C6F336E" w:rsidR="003B1227" w:rsidRDefault="004471A4" w:rsidP="008E2995">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u w:val="single"/>
        </w:rPr>
      </w:pPr>
      <w:r>
        <w:rPr>
          <w:rFonts w:ascii="Tahoma" w:hAnsi="Tahoma" w:cs="Tahoma"/>
          <w:b/>
          <w:color w:val="365F91" w:themeColor="accent1" w:themeShade="BF"/>
          <w:kern w:val="20"/>
          <w:sz w:val="24"/>
          <w:szCs w:val="22"/>
          <w:u w:val="single"/>
        </w:rPr>
        <w:t>Organisant la prise en charge du</w:t>
      </w:r>
      <w:r w:rsidR="00DC1B8D">
        <w:rPr>
          <w:rFonts w:ascii="Tahoma" w:hAnsi="Tahoma" w:cs="Tahoma"/>
          <w:b/>
          <w:color w:val="365F91" w:themeColor="accent1" w:themeShade="BF"/>
          <w:kern w:val="20"/>
          <w:sz w:val="24"/>
          <w:szCs w:val="22"/>
          <w:u w:val="single"/>
        </w:rPr>
        <w:t xml:space="preserve"> compte personnel de formation (CPF)</w:t>
      </w:r>
    </w:p>
    <w:p w14:paraId="06CF2824" w14:textId="37119973" w:rsidR="00C525EC" w:rsidRPr="009255EF" w:rsidRDefault="003B122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b/>
          <w:color w:val="365F91" w:themeColor="accent1" w:themeShade="BF"/>
          <w:kern w:val="20"/>
          <w:sz w:val="24"/>
          <w:szCs w:val="22"/>
          <w:u w:val="single"/>
        </w:rPr>
        <w:t xml:space="preserve"> </w:t>
      </w:r>
    </w:p>
    <w:p w14:paraId="06CF2825" w14:textId="21FF6A69" w:rsidR="00E27274" w:rsidRPr="00DC3775" w:rsidRDefault="00E27274" w:rsidP="00A448C7">
      <w:pPr>
        <w:spacing w:after="0" w:line="240" w:lineRule="auto"/>
        <w:ind w:left="4275"/>
        <w:rPr>
          <w:rFonts w:ascii="Tahoma" w:hAnsi="Tahoma" w:cs="Tahoma"/>
          <w:caps/>
          <w:color w:val="5F497A"/>
          <w:kern w:val="20"/>
          <w:szCs w:val="22"/>
        </w:rPr>
      </w:pPr>
    </w:p>
    <w:p w14:paraId="06CF2826" w14:textId="3F20523B" w:rsidR="000617BC" w:rsidRPr="00DC3775" w:rsidRDefault="000617BC" w:rsidP="00A448C7">
      <w:pPr>
        <w:spacing w:after="0" w:line="240" w:lineRule="auto"/>
        <w:ind w:left="4275"/>
        <w:rPr>
          <w:rFonts w:ascii="Tahoma" w:hAnsi="Tahoma" w:cs="Tahoma"/>
          <w:caps/>
          <w:color w:val="5F497A"/>
          <w:kern w:val="20"/>
          <w:szCs w:val="22"/>
        </w:rPr>
      </w:pPr>
    </w:p>
    <w:p w14:paraId="06CF2827" w14:textId="5285F87A" w:rsidR="000617BC" w:rsidRPr="00DC3775" w:rsidRDefault="005B6050" w:rsidP="00A448C7">
      <w:pPr>
        <w:spacing w:after="0" w:line="240" w:lineRule="auto"/>
        <w:ind w:left="4275"/>
        <w:rPr>
          <w:rFonts w:ascii="Tahoma" w:hAnsi="Tahoma" w:cs="Tahoma"/>
          <w:caps/>
          <w:color w:val="5F497A"/>
          <w:kern w:val="20"/>
          <w:szCs w:val="22"/>
        </w:rPr>
      </w:pPr>
      <w:r>
        <w:rPr>
          <w:rFonts w:ascii="Tahoma" w:eastAsia="Calibri" w:hAnsi="Tahoma"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31602C65" w:rsidR="00A924F9" w:rsidRPr="00DC3775" w:rsidRDefault="005D3F95"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31602C65" w:rsidR="00A924F9" w:rsidRPr="00DC3775" w:rsidRDefault="005D3F95"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v:textbox>
              </v:shape>
            </w:pict>
          </mc:Fallback>
        </mc:AlternateContent>
      </w:r>
      <w:r>
        <w:rPr>
          <w:rFonts w:ascii="Tahoma" w:hAnsi="Tahoma" w:cs="Tahoma"/>
          <w:noProof/>
          <w:color w:val="365F91" w:themeColor="accent1" w:themeShade="B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line="240" w:lineRule="auto"/>
        <w:ind w:left="4275"/>
        <w:rPr>
          <w:rFonts w:ascii="Tahoma" w:hAnsi="Tahoma" w:cs="Tahoma"/>
          <w:caps/>
          <w:color w:val="5F497A"/>
          <w:kern w:val="20"/>
          <w:szCs w:val="22"/>
        </w:rPr>
      </w:pPr>
    </w:p>
    <w:p w14:paraId="06CF2829" w14:textId="77777777" w:rsidR="00AC681E" w:rsidRDefault="00AC681E" w:rsidP="00A448C7">
      <w:pPr>
        <w:spacing w:after="0" w:line="240" w:lineRule="auto"/>
        <w:outlineLvl w:val="0"/>
        <w:rPr>
          <w:rFonts w:ascii="Tahoma" w:hAnsi="Tahoma" w:cs="Tahoma"/>
          <w:color w:val="365F91" w:themeColor="accent1" w:themeShade="BF"/>
          <w:kern w:val="20"/>
        </w:rPr>
      </w:pPr>
    </w:p>
    <w:p w14:paraId="06CF282A" w14:textId="77777777" w:rsidR="00AC681E" w:rsidRDefault="00AC681E" w:rsidP="00A448C7">
      <w:pPr>
        <w:spacing w:after="0" w:line="240" w:lineRule="auto"/>
        <w:outlineLvl w:val="0"/>
        <w:rPr>
          <w:rFonts w:ascii="Tahoma" w:hAnsi="Tahoma" w:cs="Tahoma"/>
          <w:color w:val="365F91" w:themeColor="accent1" w:themeShade="BF"/>
          <w:kern w:val="20"/>
        </w:rPr>
      </w:pPr>
    </w:p>
    <w:p w14:paraId="06CF282B" w14:textId="77777777" w:rsidR="00AC681E" w:rsidRDefault="00AC681E" w:rsidP="00A448C7">
      <w:pPr>
        <w:spacing w:after="0" w:line="240" w:lineRule="auto"/>
        <w:outlineLvl w:val="0"/>
        <w:rPr>
          <w:rFonts w:ascii="Tahoma" w:hAnsi="Tahoma" w:cs="Tahoma"/>
          <w:color w:val="365F91" w:themeColor="accent1" w:themeShade="BF"/>
          <w:kern w:val="20"/>
        </w:rPr>
      </w:pPr>
    </w:p>
    <w:p w14:paraId="06CF282C" w14:textId="77777777" w:rsidR="00AC681E" w:rsidRDefault="00AC681E" w:rsidP="00A448C7">
      <w:pPr>
        <w:spacing w:after="0" w:line="240" w:lineRule="auto"/>
        <w:outlineLvl w:val="0"/>
        <w:rPr>
          <w:rFonts w:ascii="Tahoma" w:hAnsi="Tahoma" w:cs="Tahoma"/>
          <w:color w:val="365F91" w:themeColor="accent1" w:themeShade="BF"/>
          <w:kern w:val="20"/>
        </w:rPr>
      </w:pPr>
    </w:p>
    <w:p w14:paraId="06CF282D" w14:textId="77777777" w:rsidR="00AC681E" w:rsidRDefault="00AC681E" w:rsidP="00A448C7">
      <w:pPr>
        <w:spacing w:after="0" w:line="240" w:lineRule="auto"/>
        <w:outlineLvl w:val="0"/>
        <w:rPr>
          <w:rFonts w:ascii="Tahoma" w:hAnsi="Tahoma" w:cs="Tahoma"/>
          <w:color w:val="365F91" w:themeColor="accent1" w:themeShade="BF"/>
          <w:kern w:val="20"/>
        </w:rPr>
      </w:pPr>
    </w:p>
    <w:p w14:paraId="4EFF115A" w14:textId="03E0B0E0" w:rsidR="00D41179" w:rsidRPr="00D41179" w:rsidRDefault="00D41179" w:rsidP="00D41179">
      <w:pPr>
        <w:spacing w:line="240" w:lineRule="auto"/>
        <w:outlineLvl w:val="0"/>
        <w:rPr>
          <w:rFonts w:ascii="Tahoma" w:hAnsi="Tahoma" w:cs="Tahoma"/>
          <w:bCs/>
          <w:color w:val="365F91" w:themeColor="accent1" w:themeShade="BF"/>
          <w:kern w:val="20"/>
          <w:sz w:val="20"/>
        </w:rPr>
      </w:pPr>
      <w:r w:rsidRPr="00D41179">
        <w:rPr>
          <w:rFonts w:ascii="Tahoma" w:hAnsi="Tahoma" w:cs="Tahoma"/>
          <w:b/>
          <w:color w:val="365F91" w:themeColor="accent1" w:themeShade="BF"/>
          <w:kern w:val="20"/>
          <w:sz w:val="20"/>
        </w:rPr>
        <w:t xml:space="preserve">Vu </w:t>
      </w:r>
      <w:r w:rsidRPr="00D41179">
        <w:rPr>
          <w:rFonts w:ascii="Tahoma" w:hAnsi="Tahoma" w:cs="Tahoma"/>
          <w:bCs/>
          <w:color w:val="365F91" w:themeColor="accent1" w:themeShade="BF"/>
          <w:kern w:val="20"/>
          <w:sz w:val="20"/>
        </w:rPr>
        <w:t xml:space="preserve">le Code Général des Collectivités Territoriales, </w:t>
      </w:r>
    </w:p>
    <w:p w14:paraId="47607CAE" w14:textId="69D6F036" w:rsidR="00130F65" w:rsidRDefault="00D41179" w:rsidP="00D41179">
      <w:pPr>
        <w:spacing w:line="240" w:lineRule="auto"/>
        <w:outlineLvl w:val="0"/>
        <w:rPr>
          <w:rFonts w:ascii="Tahoma" w:hAnsi="Tahoma" w:cs="Tahoma"/>
          <w:b/>
          <w:color w:val="365F91" w:themeColor="accent1" w:themeShade="BF"/>
          <w:kern w:val="20"/>
          <w:sz w:val="20"/>
        </w:rPr>
      </w:pPr>
      <w:r w:rsidRPr="00D41179">
        <w:rPr>
          <w:rFonts w:ascii="Tahoma" w:hAnsi="Tahoma" w:cs="Tahoma"/>
          <w:b/>
          <w:color w:val="365F91" w:themeColor="accent1" w:themeShade="BF"/>
          <w:kern w:val="20"/>
          <w:sz w:val="20"/>
        </w:rPr>
        <w:t xml:space="preserve">Vu </w:t>
      </w:r>
      <w:r w:rsidRPr="00D41179">
        <w:rPr>
          <w:rFonts w:ascii="Tahoma" w:hAnsi="Tahoma" w:cs="Tahoma"/>
          <w:bCs/>
          <w:color w:val="365F91" w:themeColor="accent1" w:themeShade="BF"/>
          <w:kern w:val="20"/>
          <w:sz w:val="20"/>
        </w:rPr>
        <w:t>le Code Général de la Fonction Publique,</w:t>
      </w:r>
      <w:r w:rsidR="00AF437B">
        <w:rPr>
          <w:rFonts w:ascii="Tahoma" w:hAnsi="Tahoma" w:cs="Tahoma"/>
          <w:bCs/>
          <w:color w:val="365F91" w:themeColor="accent1" w:themeShade="BF"/>
          <w:kern w:val="20"/>
          <w:sz w:val="20"/>
        </w:rPr>
        <w:t xml:space="preserve"> notamment ses articles L422-8 à L422-19</w:t>
      </w:r>
      <w:r w:rsidR="000A67B9">
        <w:rPr>
          <w:rFonts w:ascii="Tahoma" w:hAnsi="Tahoma" w:cs="Tahoma"/>
          <w:bCs/>
          <w:color w:val="365F91" w:themeColor="accent1" w:themeShade="BF"/>
          <w:kern w:val="20"/>
          <w:sz w:val="20"/>
        </w:rPr>
        <w:t>,</w:t>
      </w:r>
    </w:p>
    <w:p w14:paraId="1EB880FB" w14:textId="238831B6" w:rsidR="00194B49" w:rsidRDefault="00194B49" w:rsidP="00194B49">
      <w:pPr>
        <w:spacing w:line="240" w:lineRule="auto"/>
        <w:outlineLvl w:val="0"/>
        <w:rPr>
          <w:rFonts w:ascii="Tahoma" w:hAnsi="Tahoma" w:cs="Tahoma"/>
          <w:color w:val="365F91" w:themeColor="accent1" w:themeShade="BF"/>
          <w:kern w:val="20"/>
          <w:sz w:val="20"/>
        </w:rPr>
      </w:pPr>
      <w:r w:rsidRPr="00194B49">
        <w:rPr>
          <w:rFonts w:ascii="Tahoma" w:hAnsi="Tahoma" w:cs="Tahoma"/>
          <w:b/>
          <w:bCs/>
          <w:color w:val="365F91" w:themeColor="accent1" w:themeShade="BF"/>
          <w:kern w:val="20"/>
          <w:sz w:val="20"/>
        </w:rPr>
        <w:t>Vu</w:t>
      </w:r>
      <w:r>
        <w:rPr>
          <w:rFonts w:ascii="Tahoma" w:hAnsi="Tahoma" w:cs="Tahoma"/>
          <w:color w:val="365F91" w:themeColor="accent1" w:themeShade="BF"/>
          <w:kern w:val="20"/>
          <w:sz w:val="20"/>
        </w:rPr>
        <w:t xml:space="preserve"> </w:t>
      </w:r>
      <w:r w:rsidR="00DC1B8D" w:rsidRPr="00DC1B8D">
        <w:rPr>
          <w:rFonts w:ascii="Tahoma" w:hAnsi="Tahoma" w:cs="Tahoma"/>
          <w:color w:val="365F91" w:themeColor="accent1" w:themeShade="BF"/>
          <w:kern w:val="20"/>
          <w:sz w:val="20"/>
        </w:rPr>
        <w:t xml:space="preserve">la </w:t>
      </w:r>
      <w:r w:rsidR="00DC1B8D">
        <w:rPr>
          <w:rFonts w:ascii="Tahoma" w:hAnsi="Tahoma" w:cs="Tahoma"/>
          <w:color w:val="365F91" w:themeColor="accent1" w:themeShade="BF"/>
          <w:kern w:val="20"/>
          <w:sz w:val="20"/>
        </w:rPr>
        <w:t>L</w:t>
      </w:r>
      <w:r w:rsidR="00DC1B8D" w:rsidRPr="00DC1B8D">
        <w:rPr>
          <w:rFonts w:ascii="Tahoma" w:hAnsi="Tahoma" w:cs="Tahoma"/>
          <w:color w:val="365F91" w:themeColor="accent1" w:themeShade="BF"/>
          <w:kern w:val="20"/>
          <w:sz w:val="20"/>
        </w:rPr>
        <w:t>oi n° 84-594 du 12 juillet 1984 relative à la formation des agents de la fonction publique territoriale et complétant la loi n° 84-53 du 26 janvier 1984 portant dispositions statutaires relatives à la fonction publique territoriale</w:t>
      </w:r>
      <w:r>
        <w:rPr>
          <w:rFonts w:ascii="Tahoma" w:hAnsi="Tahoma" w:cs="Tahoma"/>
          <w:color w:val="365F91" w:themeColor="accent1" w:themeShade="BF"/>
          <w:kern w:val="20"/>
          <w:sz w:val="20"/>
        </w:rPr>
        <w:t>,</w:t>
      </w:r>
    </w:p>
    <w:p w14:paraId="3AE7CA44" w14:textId="5DC10A4D" w:rsidR="00D17A37" w:rsidRPr="00194B49" w:rsidRDefault="00D17A37" w:rsidP="00194B49">
      <w:pPr>
        <w:spacing w:line="240" w:lineRule="auto"/>
        <w:outlineLvl w:val="0"/>
        <w:rPr>
          <w:rFonts w:ascii="Tahoma" w:hAnsi="Tahoma" w:cs="Tahoma"/>
          <w:color w:val="365F91" w:themeColor="accent1" w:themeShade="BF"/>
          <w:kern w:val="20"/>
          <w:sz w:val="20"/>
        </w:rPr>
      </w:pPr>
      <w:r w:rsidRPr="00D17A37">
        <w:rPr>
          <w:rFonts w:ascii="Tahoma" w:hAnsi="Tahoma" w:cs="Tahoma"/>
          <w:b/>
          <w:bCs/>
          <w:color w:val="365F91" w:themeColor="accent1" w:themeShade="BF"/>
          <w:kern w:val="20"/>
          <w:sz w:val="20"/>
        </w:rPr>
        <w:t>Vu</w:t>
      </w:r>
      <w:r>
        <w:rPr>
          <w:rFonts w:ascii="Tahoma" w:hAnsi="Tahoma" w:cs="Tahoma"/>
          <w:color w:val="365F91" w:themeColor="accent1" w:themeShade="BF"/>
          <w:kern w:val="20"/>
          <w:sz w:val="20"/>
        </w:rPr>
        <w:t xml:space="preserve"> la </w:t>
      </w:r>
      <w:r w:rsidRPr="00D17A37">
        <w:rPr>
          <w:rFonts w:ascii="Tahoma" w:hAnsi="Tahoma" w:cs="Tahoma"/>
          <w:color w:val="365F91" w:themeColor="accent1" w:themeShade="BF"/>
          <w:kern w:val="20"/>
          <w:sz w:val="20"/>
        </w:rPr>
        <w:t>Loi n°2019-828 du 6 août 2019 de transformation de la fonction publique</w:t>
      </w:r>
      <w:r>
        <w:rPr>
          <w:rFonts w:ascii="Tahoma" w:hAnsi="Tahoma" w:cs="Tahoma"/>
          <w:color w:val="365F91" w:themeColor="accent1" w:themeShade="BF"/>
          <w:kern w:val="20"/>
          <w:sz w:val="20"/>
        </w:rPr>
        <w:t>,</w:t>
      </w:r>
    </w:p>
    <w:p w14:paraId="0B78620F" w14:textId="0181A47D" w:rsidR="006F34C9" w:rsidRDefault="006F34C9" w:rsidP="006F34C9">
      <w:pPr>
        <w:spacing w:line="240" w:lineRule="auto"/>
        <w:outlineLvl w:val="0"/>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Vu</w:t>
      </w:r>
      <w:r w:rsidRPr="007B4C69">
        <w:rPr>
          <w:rFonts w:ascii="Tahoma" w:hAnsi="Tahoma" w:cs="Tahoma"/>
          <w:color w:val="365F91" w:themeColor="accent1" w:themeShade="BF"/>
          <w:kern w:val="20"/>
          <w:sz w:val="20"/>
        </w:rPr>
        <w:t xml:space="preserve"> </w:t>
      </w:r>
      <w:r>
        <w:rPr>
          <w:rFonts w:ascii="Tahoma" w:hAnsi="Tahoma" w:cs="Tahoma"/>
          <w:color w:val="365F91" w:themeColor="accent1" w:themeShade="BF"/>
          <w:kern w:val="20"/>
          <w:sz w:val="20"/>
        </w:rPr>
        <w:t>l’</w:t>
      </w:r>
      <w:r w:rsidRPr="00DC1B8D">
        <w:rPr>
          <w:rFonts w:ascii="Tahoma" w:hAnsi="Tahoma" w:cs="Tahoma"/>
          <w:color w:val="365F91" w:themeColor="accent1" w:themeShade="BF"/>
          <w:kern w:val="20"/>
          <w:sz w:val="20"/>
        </w:rPr>
        <w:t>Ordonnance n° 2017-53 du 19 janvier 2017 portant diverses dispositions relatives au compte personnel d’activité, à la formation, à la santé et à la sécurité au travail dans la fonction publique</w:t>
      </w:r>
      <w:r w:rsidRPr="00022741">
        <w:rPr>
          <w:rFonts w:ascii="Tahoma" w:hAnsi="Tahoma" w:cs="Tahoma"/>
          <w:color w:val="365F91" w:themeColor="accent1" w:themeShade="BF"/>
          <w:kern w:val="20"/>
          <w:sz w:val="20"/>
        </w:rPr>
        <w:t xml:space="preserve">, </w:t>
      </w:r>
    </w:p>
    <w:p w14:paraId="65900D4D" w14:textId="2DB74E7D" w:rsidR="006F34C9" w:rsidRDefault="006F34C9" w:rsidP="006F34C9">
      <w:pPr>
        <w:spacing w:line="240" w:lineRule="auto"/>
        <w:outlineLvl w:val="0"/>
        <w:rPr>
          <w:rFonts w:ascii="Tahoma" w:hAnsi="Tahoma" w:cs="Tahoma"/>
          <w:color w:val="365F91" w:themeColor="accent1" w:themeShade="BF"/>
          <w:kern w:val="20"/>
          <w:sz w:val="20"/>
        </w:rPr>
      </w:pPr>
      <w:r w:rsidRPr="006F34C9">
        <w:rPr>
          <w:rFonts w:ascii="Tahoma" w:hAnsi="Tahoma" w:cs="Tahoma"/>
          <w:b/>
          <w:bCs/>
          <w:color w:val="365F91" w:themeColor="accent1" w:themeShade="BF"/>
          <w:kern w:val="20"/>
          <w:sz w:val="20"/>
        </w:rPr>
        <w:t>Vu</w:t>
      </w:r>
      <w:r>
        <w:rPr>
          <w:rFonts w:ascii="Tahoma" w:hAnsi="Tahoma" w:cs="Tahoma"/>
          <w:color w:val="365F91" w:themeColor="accent1" w:themeShade="BF"/>
          <w:kern w:val="20"/>
          <w:sz w:val="20"/>
        </w:rPr>
        <w:t xml:space="preserve"> le </w:t>
      </w:r>
      <w:r w:rsidRPr="006F34C9">
        <w:rPr>
          <w:rFonts w:ascii="Tahoma" w:hAnsi="Tahoma" w:cs="Tahoma"/>
          <w:color w:val="365F91" w:themeColor="accent1" w:themeShade="BF"/>
          <w:kern w:val="20"/>
          <w:sz w:val="20"/>
        </w:rPr>
        <w:t>Décret n°2016-1997 du 30 décembre 2016 relatif au compte personnel de formation des salariés de droit privé employés dans les collectivités territoriales</w:t>
      </w:r>
      <w:r>
        <w:rPr>
          <w:rFonts w:ascii="Tahoma" w:hAnsi="Tahoma" w:cs="Tahoma"/>
          <w:color w:val="365F91" w:themeColor="accent1" w:themeShade="BF"/>
          <w:kern w:val="20"/>
          <w:sz w:val="20"/>
        </w:rPr>
        <w:t>,</w:t>
      </w:r>
    </w:p>
    <w:p w14:paraId="47DE3B8A" w14:textId="119FE2E2" w:rsidR="00194B49" w:rsidRDefault="00194B49" w:rsidP="00194B49">
      <w:pPr>
        <w:spacing w:line="240" w:lineRule="auto"/>
        <w:outlineLvl w:val="0"/>
        <w:rPr>
          <w:rFonts w:ascii="Tahoma" w:hAnsi="Tahoma" w:cs="Tahoma"/>
          <w:color w:val="365F91" w:themeColor="accent1" w:themeShade="BF"/>
          <w:kern w:val="20"/>
          <w:sz w:val="20"/>
        </w:rPr>
      </w:pPr>
      <w:r w:rsidRPr="00194B49">
        <w:rPr>
          <w:rFonts w:ascii="Tahoma" w:hAnsi="Tahoma" w:cs="Tahoma"/>
          <w:b/>
          <w:bCs/>
          <w:color w:val="365F91" w:themeColor="accent1" w:themeShade="BF"/>
          <w:kern w:val="20"/>
          <w:sz w:val="20"/>
        </w:rPr>
        <w:t>Vu</w:t>
      </w:r>
      <w:r>
        <w:rPr>
          <w:rFonts w:ascii="Tahoma" w:hAnsi="Tahoma" w:cs="Tahoma"/>
          <w:color w:val="365F91" w:themeColor="accent1" w:themeShade="BF"/>
          <w:kern w:val="20"/>
          <w:sz w:val="20"/>
        </w:rPr>
        <w:t xml:space="preserve"> </w:t>
      </w:r>
      <w:r w:rsidR="00DC1B8D" w:rsidRPr="00DC1B8D">
        <w:rPr>
          <w:rFonts w:ascii="Tahoma" w:hAnsi="Tahoma" w:cs="Tahoma"/>
          <w:color w:val="365F91" w:themeColor="accent1" w:themeShade="BF"/>
          <w:kern w:val="20"/>
          <w:sz w:val="20"/>
        </w:rPr>
        <w:t xml:space="preserve">le </w:t>
      </w:r>
      <w:r w:rsidR="00DC1B8D">
        <w:rPr>
          <w:rFonts w:ascii="Tahoma" w:hAnsi="Tahoma" w:cs="Tahoma"/>
          <w:color w:val="365F91" w:themeColor="accent1" w:themeShade="BF"/>
          <w:kern w:val="20"/>
          <w:sz w:val="20"/>
        </w:rPr>
        <w:t>D</w:t>
      </w:r>
      <w:r w:rsidR="00DC1B8D" w:rsidRPr="00DC1B8D">
        <w:rPr>
          <w:rFonts w:ascii="Tahoma" w:hAnsi="Tahoma" w:cs="Tahoma"/>
          <w:color w:val="365F91" w:themeColor="accent1" w:themeShade="BF"/>
          <w:kern w:val="20"/>
          <w:sz w:val="20"/>
        </w:rPr>
        <w:t>écret n° 2017-928 du 6 mai 2017 relatif à la mise en œuvre du compte personnel d'activité dans la fonction publique et à la formation professionnelle tout au long de la vie, notamment son article 9</w:t>
      </w:r>
      <w:r>
        <w:rPr>
          <w:rFonts w:ascii="Tahoma" w:hAnsi="Tahoma" w:cs="Tahoma"/>
          <w:color w:val="365F91" w:themeColor="accent1" w:themeShade="BF"/>
          <w:kern w:val="20"/>
          <w:sz w:val="20"/>
        </w:rPr>
        <w:t>,</w:t>
      </w:r>
    </w:p>
    <w:p w14:paraId="3DCFA3EF" w14:textId="7BFBF689" w:rsidR="006F34C9" w:rsidRPr="007B4C69" w:rsidRDefault="006F34C9" w:rsidP="00194B49">
      <w:pPr>
        <w:spacing w:line="240" w:lineRule="auto"/>
        <w:outlineLvl w:val="0"/>
        <w:rPr>
          <w:rFonts w:ascii="Tahoma" w:hAnsi="Tahoma" w:cs="Tahoma"/>
          <w:color w:val="365F91" w:themeColor="accent1" w:themeShade="BF"/>
          <w:kern w:val="20"/>
          <w:sz w:val="20"/>
        </w:rPr>
      </w:pPr>
      <w:r w:rsidRPr="006F34C9">
        <w:rPr>
          <w:rFonts w:ascii="Tahoma" w:hAnsi="Tahoma" w:cs="Tahoma"/>
          <w:b/>
          <w:bCs/>
          <w:color w:val="365F91" w:themeColor="accent1" w:themeShade="BF"/>
          <w:kern w:val="20"/>
          <w:sz w:val="20"/>
        </w:rPr>
        <w:t>Vu</w:t>
      </w:r>
      <w:r>
        <w:rPr>
          <w:rFonts w:ascii="Tahoma" w:hAnsi="Tahoma" w:cs="Tahoma"/>
          <w:color w:val="365F91" w:themeColor="accent1" w:themeShade="BF"/>
          <w:kern w:val="20"/>
          <w:sz w:val="20"/>
        </w:rPr>
        <w:t xml:space="preserve"> le </w:t>
      </w:r>
      <w:r w:rsidRPr="006F34C9">
        <w:rPr>
          <w:rFonts w:ascii="Tahoma" w:hAnsi="Tahoma" w:cs="Tahoma"/>
          <w:color w:val="365F91" w:themeColor="accent1" w:themeShade="BF"/>
          <w:kern w:val="20"/>
          <w:sz w:val="20"/>
        </w:rPr>
        <w:t>Décret n°2019-1392 du 17 décembre 2019 modifiant le décret n° 2017-928 du 6 mai 2017 relatif à la mise en œuvre du compte personnel d'activité dans la fonction publique et à la formation professionnelle tout au long de la vie</w:t>
      </w:r>
      <w:r>
        <w:rPr>
          <w:rFonts w:ascii="Tahoma" w:hAnsi="Tahoma" w:cs="Tahoma"/>
          <w:color w:val="365F91" w:themeColor="accent1" w:themeShade="BF"/>
          <w:kern w:val="20"/>
          <w:sz w:val="20"/>
        </w:rPr>
        <w:t>,</w:t>
      </w:r>
    </w:p>
    <w:p w14:paraId="23185EC1" w14:textId="77B0782D" w:rsidR="003C6F7D" w:rsidRDefault="003C6F7D" w:rsidP="00022741">
      <w:pPr>
        <w:spacing w:line="240" w:lineRule="auto"/>
        <w:outlineLvl w:val="0"/>
        <w:rPr>
          <w:rFonts w:ascii="Tahoma" w:hAnsi="Tahoma" w:cs="Tahoma"/>
          <w:color w:val="365F91" w:themeColor="accent1" w:themeShade="BF"/>
          <w:kern w:val="20"/>
          <w:sz w:val="20"/>
        </w:rPr>
      </w:pPr>
      <w:r>
        <w:rPr>
          <w:rFonts w:ascii="Tahoma" w:hAnsi="Tahoma" w:cs="Tahoma"/>
          <w:b/>
          <w:bCs/>
          <w:color w:val="365F91" w:themeColor="accent1" w:themeShade="BF"/>
          <w:kern w:val="20"/>
          <w:sz w:val="20"/>
        </w:rPr>
        <w:t xml:space="preserve">Vu </w:t>
      </w:r>
      <w:r>
        <w:rPr>
          <w:rFonts w:ascii="Tahoma" w:hAnsi="Tahoma" w:cs="Tahoma"/>
          <w:color w:val="365F91" w:themeColor="accent1" w:themeShade="BF"/>
          <w:kern w:val="20"/>
          <w:sz w:val="20"/>
        </w:rPr>
        <w:t xml:space="preserve">la </w:t>
      </w:r>
      <w:r w:rsidRPr="003C6F7D">
        <w:rPr>
          <w:rFonts w:ascii="Tahoma" w:hAnsi="Tahoma" w:cs="Tahoma"/>
          <w:color w:val="365F91" w:themeColor="accent1" w:themeShade="BF"/>
          <w:kern w:val="20"/>
          <w:sz w:val="20"/>
        </w:rPr>
        <w:t>Circulaire du Ministère de la Fonction Publique RDFF1713973C du 10 mai 2017 relative aux modalités de mise en œuvre du compte personnel d’activité dans la fonction publique</w:t>
      </w:r>
      <w:r w:rsidR="006F34C9">
        <w:rPr>
          <w:rFonts w:ascii="Tahoma" w:hAnsi="Tahoma" w:cs="Tahoma"/>
          <w:color w:val="365F91" w:themeColor="accent1" w:themeShade="BF"/>
          <w:kern w:val="20"/>
          <w:sz w:val="20"/>
        </w:rPr>
        <w:t>,</w:t>
      </w:r>
    </w:p>
    <w:p w14:paraId="51A37843" w14:textId="77777777" w:rsidR="002C185A" w:rsidRPr="007B4C69" w:rsidRDefault="002C185A" w:rsidP="006154B9">
      <w:pPr>
        <w:spacing w:line="240" w:lineRule="auto"/>
        <w:outlineLvl w:val="0"/>
        <w:rPr>
          <w:rFonts w:ascii="Tahoma" w:hAnsi="Tahoma" w:cs="Tahoma"/>
          <w:color w:val="365F91" w:themeColor="accent1" w:themeShade="BF"/>
          <w:kern w:val="20"/>
          <w:sz w:val="20"/>
        </w:rPr>
      </w:pPr>
    </w:p>
    <w:p w14:paraId="4441B1A7" w14:textId="2358E198" w:rsidR="002670C7" w:rsidRDefault="002670C7" w:rsidP="006154B9">
      <w:pPr>
        <w:spacing w:line="240" w:lineRule="auto"/>
        <w:outlineLvl w:val="0"/>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Vu</w:t>
      </w:r>
      <w:r w:rsidRPr="007B4C69">
        <w:rPr>
          <w:rFonts w:ascii="Tahoma" w:hAnsi="Tahoma" w:cs="Tahoma"/>
          <w:color w:val="365F91" w:themeColor="accent1" w:themeShade="BF"/>
          <w:kern w:val="20"/>
          <w:sz w:val="20"/>
        </w:rPr>
        <w:t xml:space="preserve"> l’avis du Comité </w:t>
      </w:r>
      <w:r w:rsidR="004B0F32">
        <w:rPr>
          <w:rFonts w:ascii="Tahoma" w:hAnsi="Tahoma" w:cs="Tahoma"/>
          <w:color w:val="365F91" w:themeColor="accent1" w:themeShade="BF"/>
          <w:kern w:val="20"/>
          <w:sz w:val="20"/>
        </w:rPr>
        <w:t xml:space="preserve">Social Territorial </w:t>
      </w:r>
      <w:r w:rsidRPr="007B4C69">
        <w:rPr>
          <w:rFonts w:ascii="Tahoma" w:hAnsi="Tahoma" w:cs="Tahoma"/>
          <w:color w:val="365F91" w:themeColor="accent1" w:themeShade="BF"/>
          <w:kern w:val="20"/>
          <w:sz w:val="20"/>
        </w:rPr>
        <w:t>en date du …,</w:t>
      </w:r>
    </w:p>
    <w:p w14:paraId="141808AE" w14:textId="573783E0" w:rsidR="0000702B" w:rsidRDefault="0000702B" w:rsidP="006154B9">
      <w:pPr>
        <w:spacing w:line="240" w:lineRule="auto"/>
        <w:outlineLvl w:val="0"/>
        <w:rPr>
          <w:rFonts w:ascii="Tahoma" w:hAnsi="Tahoma" w:cs="Tahoma"/>
          <w:color w:val="365F91" w:themeColor="accent1" w:themeShade="BF"/>
          <w:kern w:val="20"/>
          <w:sz w:val="20"/>
        </w:rPr>
      </w:pPr>
    </w:p>
    <w:p w14:paraId="07CB0C09" w14:textId="77777777" w:rsidR="00E44F6D" w:rsidRPr="007B4C69" w:rsidRDefault="00E44F6D" w:rsidP="006154B9">
      <w:pPr>
        <w:spacing w:line="240" w:lineRule="auto"/>
        <w:outlineLvl w:val="0"/>
        <w:rPr>
          <w:rFonts w:ascii="Tahoma" w:hAnsi="Tahoma" w:cs="Tahoma"/>
          <w:color w:val="365F91" w:themeColor="accent1" w:themeShade="BF"/>
          <w:kern w:val="20"/>
          <w:sz w:val="20"/>
        </w:rPr>
      </w:pPr>
    </w:p>
    <w:p w14:paraId="52AD2016" w14:textId="661EDE9B" w:rsidR="00A82D77" w:rsidRPr="007B4C69" w:rsidRDefault="00A82D77" w:rsidP="00A448C7">
      <w:pPr>
        <w:spacing w:after="0" w:line="240" w:lineRule="auto"/>
        <w:outlineLvl w:val="0"/>
        <w:rPr>
          <w:rFonts w:ascii="Tahoma" w:hAnsi="Tahoma" w:cs="Tahoma"/>
          <w:b/>
          <w:color w:val="365F91" w:themeColor="accent1" w:themeShade="BF"/>
          <w:kern w:val="20"/>
          <w:sz w:val="20"/>
        </w:rPr>
      </w:pPr>
      <w:r w:rsidRPr="007B4C69">
        <w:rPr>
          <w:rFonts w:ascii="Tahoma" w:hAnsi="Tahoma" w:cs="Tahoma"/>
          <w:b/>
          <w:color w:val="365F91" w:themeColor="accent1" w:themeShade="BF"/>
          <w:kern w:val="20"/>
          <w:sz w:val="20"/>
        </w:rPr>
        <w:t>Considérant ce qui suit :</w:t>
      </w:r>
    </w:p>
    <w:p w14:paraId="2962B149" w14:textId="77777777" w:rsidR="006154B9" w:rsidRPr="007B4C69" w:rsidRDefault="006154B9" w:rsidP="006154B9">
      <w:pPr>
        <w:spacing w:after="0" w:line="240" w:lineRule="auto"/>
        <w:outlineLvl w:val="0"/>
        <w:rPr>
          <w:rFonts w:ascii="Tahoma" w:hAnsi="Tahoma" w:cs="Tahoma"/>
          <w:color w:val="365F91" w:themeColor="accent1" w:themeShade="BF"/>
          <w:kern w:val="20"/>
          <w:sz w:val="20"/>
        </w:rPr>
      </w:pPr>
    </w:p>
    <w:p w14:paraId="61279226" w14:textId="0C968258" w:rsidR="00AB409A" w:rsidRDefault="002C185A" w:rsidP="00AB409A">
      <w:pPr>
        <w:spacing w:after="0" w:line="240" w:lineRule="auto"/>
        <w:outlineLvl w:val="0"/>
        <w:rPr>
          <w:rFonts w:ascii="Tahoma" w:hAnsi="Tahoma" w:cs="Tahoma"/>
          <w:color w:val="365F91" w:themeColor="accent1" w:themeShade="BF"/>
          <w:kern w:val="20"/>
          <w:sz w:val="20"/>
        </w:rPr>
      </w:pPr>
      <w:r>
        <w:rPr>
          <w:rFonts w:ascii="Tahoma" w:hAnsi="Tahoma" w:cs="Tahoma"/>
          <w:color w:val="365F91" w:themeColor="accent1" w:themeShade="BF"/>
          <w:kern w:val="20"/>
          <w:sz w:val="20"/>
        </w:rPr>
        <w:t>L</w:t>
      </w:r>
      <w:r w:rsidRPr="002C185A">
        <w:rPr>
          <w:rFonts w:ascii="Tahoma" w:hAnsi="Tahoma" w:cs="Tahoma"/>
          <w:color w:val="365F91" w:themeColor="accent1" w:themeShade="BF"/>
          <w:kern w:val="20"/>
          <w:sz w:val="20"/>
        </w:rPr>
        <w:t xml:space="preserve">e compte personnel de formation (CPF) compose avec le compte d’engagement citoyen (CEC) le compte </w:t>
      </w:r>
      <w:proofErr w:type="gramStart"/>
      <w:r w:rsidRPr="002C185A">
        <w:rPr>
          <w:rFonts w:ascii="Tahoma" w:hAnsi="Tahoma" w:cs="Tahoma"/>
          <w:color w:val="365F91" w:themeColor="accent1" w:themeShade="BF"/>
          <w:kern w:val="20"/>
          <w:sz w:val="20"/>
        </w:rPr>
        <w:t>personnel</w:t>
      </w:r>
      <w:proofErr w:type="gramEnd"/>
      <w:r w:rsidRPr="002C185A">
        <w:rPr>
          <w:rFonts w:ascii="Tahoma" w:hAnsi="Tahoma" w:cs="Tahoma"/>
          <w:color w:val="365F91" w:themeColor="accent1" w:themeShade="BF"/>
          <w:kern w:val="20"/>
          <w:sz w:val="20"/>
        </w:rPr>
        <w:t xml:space="preserve"> d’activité (CPA). Dans le cadre du CPF, tout agent peut demander à bénéficier d’une formation avec prise en charge des frais pédagogiques et des frais de déplacement de la formation.</w:t>
      </w:r>
    </w:p>
    <w:p w14:paraId="05132671" w14:textId="77777777" w:rsidR="002C185A" w:rsidRDefault="002C185A" w:rsidP="00AB409A">
      <w:pPr>
        <w:spacing w:after="0" w:line="240" w:lineRule="auto"/>
        <w:outlineLvl w:val="0"/>
        <w:rPr>
          <w:rFonts w:ascii="Tahoma" w:hAnsi="Tahoma" w:cs="Tahoma"/>
          <w:color w:val="365F91" w:themeColor="accent1" w:themeShade="BF"/>
          <w:kern w:val="20"/>
          <w:sz w:val="20"/>
        </w:rPr>
      </w:pPr>
    </w:p>
    <w:p w14:paraId="5F4F7C6D" w14:textId="7E4052BF" w:rsidR="00DC1B8D" w:rsidRDefault="002C185A" w:rsidP="00AB409A">
      <w:pPr>
        <w:spacing w:after="0" w:line="240" w:lineRule="auto"/>
        <w:outlineLvl w:val="0"/>
        <w:rPr>
          <w:rFonts w:ascii="Tahoma" w:hAnsi="Tahoma" w:cs="Tahoma"/>
          <w:color w:val="365F91" w:themeColor="accent1" w:themeShade="BF"/>
          <w:kern w:val="20"/>
          <w:sz w:val="20"/>
        </w:rPr>
      </w:pPr>
      <w:r w:rsidRPr="002C185A">
        <w:rPr>
          <w:rFonts w:ascii="Tahoma" w:hAnsi="Tahoma" w:cs="Tahoma"/>
          <w:color w:val="365F91" w:themeColor="accent1" w:themeShade="BF"/>
          <w:kern w:val="20"/>
          <w:sz w:val="20"/>
        </w:rPr>
        <w:t>L’utilisation du compte personnel de formation peut porter sur toute action de formation ayant pour objet l'acquisition d'un diplôme, d'un titre, d'un certificat de qualification professionnelle ou le développement des compétences nécessaires à la mise en œuvre d’un projet d'évolution professionnelle, ainsi que les actions de préparation aux concours et examens et éventuellement un temps de préparation personnelle.</w:t>
      </w:r>
    </w:p>
    <w:p w14:paraId="7B1AC601" w14:textId="77777777" w:rsidR="002C185A" w:rsidRPr="00AB409A" w:rsidRDefault="002C185A" w:rsidP="00AB409A">
      <w:pPr>
        <w:spacing w:after="0" w:line="240" w:lineRule="auto"/>
        <w:outlineLvl w:val="0"/>
        <w:rPr>
          <w:rFonts w:ascii="Tahoma" w:hAnsi="Tahoma" w:cs="Tahoma"/>
          <w:color w:val="365F91" w:themeColor="accent1" w:themeShade="BF"/>
          <w:kern w:val="20"/>
          <w:sz w:val="20"/>
        </w:rPr>
      </w:pPr>
    </w:p>
    <w:p w14:paraId="64F51B0E" w14:textId="1A88A1E8" w:rsidR="00AB409A" w:rsidRDefault="00AB409A" w:rsidP="00AB409A">
      <w:pPr>
        <w:spacing w:after="0" w:line="240" w:lineRule="auto"/>
        <w:outlineLvl w:val="0"/>
        <w:rPr>
          <w:rFonts w:ascii="Tahoma" w:hAnsi="Tahoma" w:cs="Tahoma"/>
          <w:color w:val="365F91" w:themeColor="accent1" w:themeShade="BF"/>
          <w:kern w:val="20"/>
          <w:sz w:val="20"/>
        </w:rPr>
      </w:pPr>
      <w:r>
        <w:rPr>
          <w:rFonts w:ascii="Tahoma" w:hAnsi="Tahoma" w:cs="Tahoma"/>
          <w:color w:val="365F91" w:themeColor="accent1" w:themeShade="BF"/>
          <w:kern w:val="20"/>
          <w:sz w:val="20"/>
        </w:rPr>
        <w:t>I</w:t>
      </w:r>
      <w:r w:rsidRPr="00AB409A">
        <w:rPr>
          <w:rFonts w:ascii="Tahoma" w:hAnsi="Tahoma" w:cs="Tahoma"/>
          <w:color w:val="365F91" w:themeColor="accent1" w:themeShade="BF"/>
          <w:kern w:val="20"/>
          <w:sz w:val="20"/>
        </w:rPr>
        <w:t>l appartient à l'organe délibérant, conformément aux dispositions règlementaires énoncées ci-dessus, de déterminer</w:t>
      </w:r>
      <w:r>
        <w:rPr>
          <w:rFonts w:ascii="Tahoma" w:hAnsi="Tahoma" w:cs="Tahoma"/>
          <w:color w:val="365F91" w:themeColor="accent1" w:themeShade="BF"/>
          <w:kern w:val="20"/>
          <w:sz w:val="20"/>
        </w:rPr>
        <w:t xml:space="preserve"> par délibération</w:t>
      </w:r>
      <w:r w:rsidRPr="00AB409A">
        <w:rPr>
          <w:rFonts w:ascii="Tahoma" w:hAnsi="Tahoma" w:cs="Tahoma"/>
          <w:color w:val="365F91" w:themeColor="accent1" w:themeShade="BF"/>
          <w:kern w:val="20"/>
          <w:sz w:val="20"/>
        </w:rPr>
        <w:t>,</w:t>
      </w:r>
      <w:r w:rsidR="00945C97">
        <w:rPr>
          <w:rFonts w:ascii="Tahoma" w:hAnsi="Tahoma" w:cs="Tahoma"/>
          <w:color w:val="365F91" w:themeColor="accent1" w:themeShade="BF"/>
          <w:kern w:val="20"/>
          <w:sz w:val="20"/>
        </w:rPr>
        <w:t xml:space="preserve"> les modalités de prise en charge du compte personnel de formation, notamment son plafond</w:t>
      </w:r>
      <w:r w:rsidRPr="00AB409A">
        <w:rPr>
          <w:rFonts w:ascii="Tahoma" w:hAnsi="Tahoma" w:cs="Tahoma"/>
          <w:color w:val="365F91" w:themeColor="accent1" w:themeShade="BF"/>
          <w:kern w:val="20"/>
          <w:sz w:val="20"/>
        </w:rPr>
        <w:t>.</w:t>
      </w:r>
    </w:p>
    <w:p w14:paraId="726511E9" w14:textId="77777777" w:rsidR="002C185A" w:rsidRDefault="002C185A" w:rsidP="00AB409A">
      <w:pPr>
        <w:spacing w:after="0" w:line="240" w:lineRule="auto"/>
        <w:outlineLvl w:val="0"/>
        <w:rPr>
          <w:rFonts w:ascii="Tahoma" w:hAnsi="Tahoma" w:cs="Tahoma"/>
          <w:color w:val="365F91" w:themeColor="accent1" w:themeShade="BF"/>
          <w:kern w:val="20"/>
          <w:sz w:val="20"/>
        </w:rPr>
      </w:pPr>
    </w:p>
    <w:p w14:paraId="4A6610D3" w14:textId="77777777" w:rsidR="00E20A45" w:rsidRPr="00B302CB" w:rsidRDefault="00E20A45" w:rsidP="00AB409A">
      <w:pPr>
        <w:spacing w:after="0" w:line="240" w:lineRule="auto"/>
        <w:outlineLvl w:val="0"/>
        <w:rPr>
          <w:rFonts w:ascii="Tahoma" w:hAnsi="Tahoma" w:cs="Tahoma"/>
          <w:color w:val="365F91" w:themeColor="accent1" w:themeShade="BF"/>
          <w:kern w:val="20"/>
          <w:sz w:val="20"/>
        </w:rPr>
      </w:pPr>
    </w:p>
    <w:p w14:paraId="06CF2836" w14:textId="7AFF3498" w:rsidR="00872E24" w:rsidRPr="00750A68" w:rsidRDefault="00872E24" w:rsidP="00A448C7">
      <w:pPr>
        <w:spacing w:after="0" w:line="240" w:lineRule="auto"/>
        <w:rPr>
          <w:rFonts w:ascii="Tahoma" w:hAnsi="Tahoma" w:cs="Tahoma"/>
          <w:b/>
          <w:color w:val="365F91" w:themeColor="accent1" w:themeShade="BF"/>
          <w:kern w:val="20"/>
          <w:sz w:val="20"/>
        </w:rPr>
      </w:pPr>
      <w:bookmarkStart w:id="0" w:name="_Hlk84330749"/>
      <w:r w:rsidRPr="007B4C69">
        <w:rPr>
          <w:rFonts w:ascii="Tahoma" w:hAnsi="Tahoma" w:cs="Tahoma"/>
          <w:b/>
          <w:color w:val="365F91" w:themeColor="accent1" w:themeShade="BF"/>
          <w:kern w:val="20"/>
          <w:sz w:val="20"/>
        </w:rPr>
        <w:lastRenderedPageBreak/>
        <w:t xml:space="preserve">L’assemblée délibérante, </w:t>
      </w:r>
    </w:p>
    <w:p w14:paraId="703A65C8" w14:textId="194C6844" w:rsidR="00A82D77" w:rsidRPr="007B4C69" w:rsidRDefault="00AC681E" w:rsidP="00A82D77">
      <w:pPr>
        <w:spacing w:after="0" w:line="240" w:lineRule="auto"/>
        <w:jc w:val="center"/>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D</w:t>
      </w:r>
      <w:r w:rsidR="00872E24" w:rsidRPr="007B4C69">
        <w:rPr>
          <w:rFonts w:ascii="Tahoma" w:hAnsi="Tahoma" w:cs="Tahoma"/>
          <w:b/>
          <w:color w:val="365F91" w:themeColor="accent1" w:themeShade="BF"/>
          <w:kern w:val="20"/>
          <w:sz w:val="20"/>
        </w:rPr>
        <w:t>écide</w:t>
      </w:r>
    </w:p>
    <w:bookmarkEnd w:id="0"/>
    <w:p w14:paraId="5A83A617" w14:textId="51BBFC10" w:rsidR="006154B9" w:rsidRPr="007B4C69" w:rsidRDefault="006154B9" w:rsidP="00A82D77">
      <w:pPr>
        <w:spacing w:after="0" w:line="240" w:lineRule="auto"/>
        <w:rPr>
          <w:rFonts w:ascii="Tahoma" w:hAnsi="Tahoma" w:cs="Tahoma"/>
          <w:b/>
          <w:bCs/>
          <w:color w:val="365F91" w:themeColor="accent1" w:themeShade="BF"/>
          <w:kern w:val="20"/>
          <w:sz w:val="20"/>
        </w:rPr>
      </w:pPr>
    </w:p>
    <w:p w14:paraId="22076041" w14:textId="43E25A76" w:rsidR="00A15C13" w:rsidRDefault="00EA289B" w:rsidP="00A15C13">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Que les demandes de CPF sont examinées par l’autorité territoriale selon le dispositif suivant</w:t>
      </w:r>
      <w:r w:rsidR="00130F65">
        <w:rPr>
          <w:rFonts w:ascii="Tahoma" w:hAnsi="Tahoma" w:cs="Tahoma"/>
          <w:color w:val="365F91" w:themeColor="accent1" w:themeShade="BF"/>
          <w:kern w:val="20"/>
          <w:sz w:val="20"/>
        </w:rPr>
        <w:t xml:space="preserve"> </w:t>
      </w:r>
      <w:r w:rsidR="00A15C13">
        <w:rPr>
          <w:rFonts w:ascii="Tahoma" w:hAnsi="Tahoma" w:cs="Tahoma"/>
          <w:color w:val="365F91" w:themeColor="accent1" w:themeShade="BF"/>
          <w:kern w:val="20"/>
          <w:sz w:val="20"/>
        </w:rPr>
        <w:t>:</w:t>
      </w:r>
    </w:p>
    <w:p w14:paraId="43FF46E5" w14:textId="77777777" w:rsidR="00DC50FE" w:rsidRPr="00DC50FE" w:rsidRDefault="00EA289B" w:rsidP="00EA289B">
      <w:pPr>
        <w:pStyle w:val="Paragraphedeliste"/>
        <w:numPr>
          <w:ilvl w:val="1"/>
          <w:numId w:val="14"/>
        </w:numPr>
        <w:spacing w:after="0" w:line="240" w:lineRule="auto"/>
        <w:rPr>
          <w:rFonts w:ascii="Tahoma" w:hAnsi="Tahoma" w:cs="Tahoma"/>
          <w:i/>
          <w:iCs/>
          <w:color w:val="00B0F0"/>
          <w:kern w:val="20"/>
          <w:sz w:val="20"/>
        </w:rPr>
      </w:pPr>
      <w:r w:rsidRPr="00DC50FE">
        <w:rPr>
          <w:rFonts w:ascii="Tahoma" w:hAnsi="Tahoma" w:cs="Tahoma"/>
          <w:i/>
          <w:iCs/>
          <w:color w:val="00B0F0"/>
          <w:kern w:val="20"/>
          <w:sz w:val="20"/>
        </w:rPr>
        <w:t xml:space="preserve">Lors de leur présentation, avec une réponse dans un délai de 2 mois. </w:t>
      </w:r>
    </w:p>
    <w:p w14:paraId="60AB9EE0" w14:textId="623C7271" w:rsidR="00EA289B" w:rsidRPr="00DC50FE" w:rsidRDefault="00EA289B" w:rsidP="00DC50FE">
      <w:pPr>
        <w:pStyle w:val="Paragraphedeliste"/>
        <w:spacing w:after="0" w:line="240" w:lineRule="auto"/>
        <w:ind w:left="1363"/>
        <w:rPr>
          <w:rFonts w:ascii="Tahoma" w:hAnsi="Tahoma" w:cs="Tahoma"/>
          <w:i/>
          <w:iCs/>
          <w:color w:val="00B0F0"/>
          <w:kern w:val="20"/>
          <w:sz w:val="20"/>
        </w:rPr>
      </w:pPr>
      <w:proofErr w:type="gramStart"/>
      <w:r w:rsidRPr="00DC50FE">
        <w:rPr>
          <w:rFonts w:ascii="Tahoma" w:hAnsi="Tahoma" w:cs="Tahoma"/>
          <w:i/>
          <w:iCs/>
          <w:color w:val="00B0F0"/>
          <w:kern w:val="20"/>
          <w:sz w:val="20"/>
        </w:rPr>
        <w:t>Ou</w:t>
      </w:r>
      <w:proofErr w:type="gramEnd"/>
      <w:r w:rsidRPr="00DC50FE">
        <w:rPr>
          <w:rFonts w:ascii="Tahoma" w:hAnsi="Tahoma" w:cs="Tahoma"/>
          <w:i/>
          <w:iCs/>
          <w:color w:val="00B0F0"/>
          <w:kern w:val="20"/>
          <w:sz w:val="20"/>
        </w:rPr>
        <w:t xml:space="preserve"> </w:t>
      </w:r>
    </w:p>
    <w:p w14:paraId="32FADC4E" w14:textId="2DF66CB3" w:rsidR="00EA289B" w:rsidRPr="00DC50FE" w:rsidRDefault="00EA289B" w:rsidP="00EA289B">
      <w:pPr>
        <w:pStyle w:val="Paragraphedeliste"/>
        <w:numPr>
          <w:ilvl w:val="1"/>
          <w:numId w:val="14"/>
        </w:numPr>
        <w:spacing w:after="0" w:line="240" w:lineRule="auto"/>
        <w:rPr>
          <w:rFonts w:ascii="Tahoma" w:hAnsi="Tahoma" w:cs="Tahoma"/>
          <w:i/>
          <w:iCs/>
          <w:color w:val="00B0F0"/>
          <w:kern w:val="20"/>
          <w:sz w:val="20"/>
        </w:rPr>
      </w:pPr>
      <w:r w:rsidRPr="00DC50FE">
        <w:rPr>
          <w:rFonts w:ascii="Tahoma" w:hAnsi="Tahoma" w:cs="Tahoma"/>
          <w:i/>
          <w:iCs/>
          <w:color w:val="00B0F0"/>
          <w:kern w:val="20"/>
          <w:sz w:val="20"/>
        </w:rPr>
        <w:t>Par période par exemple :</w:t>
      </w:r>
    </w:p>
    <w:p w14:paraId="5CE26983" w14:textId="74CDE371" w:rsidR="00EA289B" w:rsidRPr="00DC50FE" w:rsidRDefault="00EA289B" w:rsidP="00EA289B">
      <w:pPr>
        <w:pStyle w:val="Paragraphedeliste"/>
        <w:numPr>
          <w:ilvl w:val="2"/>
          <w:numId w:val="14"/>
        </w:numPr>
        <w:spacing w:after="0" w:line="240" w:lineRule="auto"/>
        <w:rPr>
          <w:rFonts w:ascii="Tahoma" w:hAnsi="Tahoma" w:cs="Tahoma"/>
          <w:i/>
          <w:iCs/>
          <w:color w:val="00B0F0"/>
          <w:kern w:val="20"/>
          <w:sz w:val="20"/>
        </w:rPr>
      </w:pPr>
      <w:r w:rsidRPr="00DC50FE">
        <w:rPr>
          <w:rFonts w:ascii="Tahoma" w:hAnsi="Tahoma" w:cs="Tahoma"/>
          <w:i/>
          <w:iCs/>
          <w:color w:val="00B0F0"/>
          <w:kern w:val="20"/>
          <w:sz w:val="20"/>
        </w:rPr>
        <w:t>Avant le 1</w:t>
      </w:r>
      <w:r w:rsidRPr="00DC50FE">
        <w:rPr>
          <w:rFonts w:ascii="Tahoma" w:hAnsi="Tahoma" w:cs="Tahoma"/>
          <w:i/>
          <w:iCs/>
          <w:color w:val="00B0F0"/>
          <w:kern w:val="20"/>
          <w:sz w:val="20"/>
          <w:vertAlign w:val="superscript"/>
        </w:rPr>
        <w:t>er</w:t>
      </w:r>
      <w:r w:rsidRPr="00DC50FE">
        <w:rPr>
          <w:rFonts w:ascii="Tahoma" w:hAnsi="Tahoma" w:cs="Tahoma"/>
          <w:i/>
          <w:iCs/>
          <w:color w:val="00B0F0"/>
          <w:kern w:val="20"/>
          <w:sz w:val="20"/>
        </w:rPr>
        <w:t xml:space="preserve"> mai de l’année en cours, pour des formations débutant sur la période du 1</w:t>
      </w:r>
      <w:r w:rsidRPr="00DC50FE">
        <w:rPr>
          <w:rFonts w:ascii="Tahoma" w:hAnsi="Tahoma" w:cs="Tahoma"/>
          <w:i/>
          <w:iCs/>
          <w:color w:val="00B0F0"/>
          <w:kern w:val="20"/>
          <w:sz w:val="20"/>
          <w:vertAlign w:val="superscript"/>
        </w:rPr>
        <w:t>er</w:t>
      </w:r>
      <w:r w:rsidRPr="00DC50FE">
        <w:rPr>
          <w:rFonts w:ascii="Tahoma" w:hAnsi="Tahoma" w:cs="Tahoma"/>
          <w:i/>
          <w:iCs/>
          <w:color w:val="00B0F0"/>
          <w:kern w:val="20"/>
          <w:sz w:val="20"/>
        </w:rPr>
        <w:t xml:space="preserve"> septembre au 31 décembre, dont le dossier complet a été présenté avant le 1</w:t>
      </w:r>
      <w:r w:rsidRPr="00DC50FE">
        <w:rPr>
          <w:rFonts w:ascii="Tahoma" w:hAnsi="Tahoma" w:cs="Tahoma"/>
          <w:i/>
          <w:iCs/>
          <w:color w:val="00B0F0"/>
          <w:kern w:val="20"/>
          <w:sz w:val="20"/>
          <w:vertAlign w:val="superscript"/>
        </w:rPr>
        <w:t>er</w:t>
      </w:r>
      <w:r w:rsidRPr="00DC50FE">
        <w:rPr>
          <w:rFonts w:ascii="Tahoma" w:hAnsi="Tahoma" w:cs="Tahoma"/>
          <w:i/>
          <w:iCs/>
          <w:color w:val="00B0F0"/>
          <w:kern w:val="20"/>
          <w:sz w:val="20"/>
        </w:rPr>
        <w:t xml:space="preserve"> avril.</w:t>
      </w:r>
    </w:p>
    <w:p w14:paraId="74F6A3DF" w14:textId="6A3DDC61" w:rsidR="00EA289B" w:rsidRPr="00DC50FE" w:rsidRDefault="00EA289B" w:rsidP="00EA289B">
      <w:pPr>
        <w:pStyle w:val="Paragraphedeliste"/>
        <w:numPr>
          <w:ilvl w:val="2"/>
          <w:numId w:val="14"/>
        </w:numPr>
        <w:spacing w:after="0" w:line="240" w:lineRule="auto"/>
        <w:rPr>
          <w:rFonts w:ascii="Tahoma" w:hAnsi="Tahoma" w:cs="Tahoma"/>
          <w:i/>
          <w:iCs/>
          <w:color w:val="00B0F0"/>
          <w:kern w:val="20"/>
          <w:sz w:val="20"/>
        </w:rPr>
      </w:pPr>
      <w:r w:rsidRPr="00DC50FE">
        <w:rPr>
          <w:rFonts w:ascii="Tahoma" w:hAnsi="Tahoma" w:cs="Tahoma"/>
          <w:i/>
          <w:iCs/>
          <w:color w:val="00B0F0"/>
          <w:kern w:val="20"/>
          <w:sz w:val="20"/>
        </w:rPr>
        <w:t>Avant le 1</w:t>
      </w:r>
      <w:r w:rsidRPr="00DC50FE">
        <w:rPr>
          <w:rFonts w:ascii="Tahoma" w:hAnsi="Tahoma" w:cs="Tahoma"/>
          <w:i/>
          <w:iCs/>
          <w:color w:val="00B0F0"/>
          <w:kern w:val="20"/>
          <w:sz w:val="20"/>
          <w:vertAlign w:val="superscript"/>
        </w:rPr>
        <w:t>er</w:t>
      </w:r>
      <w:r w:rsidRPr="00DC50FE">
        <w:rPr>
          <w:rFonts w:ascii="Tahoma" w:hAnsi="Tahoma" w:cs="Tahoma"/>
          <w:i/>
          <w:iCs/>
          <w:color w:val="00B0F0"/>
          <w:kern w:val="20"/>
          <w:sz w:val="20"/>
        </w:rPr>
        <w:t xml:space="preserve"> octobre de l’année en cours, pour des formations débutant sur la période du 1</w:t>
      </w:r>
      <w:r w:rsidRPr="00DC50FE">
        <w:rPr>
          <w:rFonts w:ascii="Tahoma" w:hAnsi="Tahoma" w:cs="Tahoma"/>
          <w:i/>
          <w:iCs/>
          <w:color w:val="00B0F0"/>
          <w:kern w:val="20"/>
          <w:sz w:val="20"/>
          <w:vertAlign w:val="superscript"/>
        </w:rPr>
        <w:t>er</w:t>
      </w:r>
      <w:r w:rsidRPr="00DC50FE">
        <w:rPr>
          <w:rFonts w:ascii="Tahoma" w:hAnsi="Tahoma" w:cs="Tahoma"/>
          <w:i/>
          <w:iCs/>
          <w:color w:val="00B0F0"/>
          <w:kern w:val="20"/>
          <w:sz w:val="20"/>
        </w:rPr>
        <w:t xml:space="preserve"> janvier de l’année suivante au 31 août, dont le dossier complet a été présenté avant le 1</w:t>
      </w:r>
      <w:r w:rsidRPr="00DC50FE">
        <w:rPr>
          <w:rFonts w:ascii="Tahoma" w:hAnsi="Tahoma" w:cs="Tahoma"/>
          <w:i/>
          <w:iCs/>
          <w:color w:val="00B0F0"/>
          <w:kern w:val="20"/>
          <w:sz w:val="20"/>
          <w:vertAlign w:val="superscript"/>
        </w:rPr>
        <w:t>er</w:t>
      </w:r>
      <w:r w:rsidR="00DC50FE" w:rsidRPr="00DC50FE">
        <w:rPr>
          <w:rFonts w:ascii="Tahoma" w:hAnsi="Tahoma" w:cs="Tahoma"/>
          <w:i/>
          <w:iCs/>
          <w:color w:val="00B0F0"/>
          <w:kern w:val="20"/>
          <w:sz w:val="20"/>
        </w:rPr>
        <w:t xml:space="preserve"> </w:t>
      </w:r>
      <w:r w:rsidRPr="00DC50FE">
        <w:rPr>
          <w:rFonts w:ascii="Tahoma" w:hAnsi="Tahoma" w:cs="Tahoma"/>
          <w:i/>
          <w:iCs/>
          <w:color w:val="00B0F0"/>
          <w:kern w:val="20"/>
          <w:sz w:val="20"/>
        </w:rPr>
        <w:t>septembre.</w:t>
      </w:r>
    </w:p>
    <w:p w14:paraId="2F37F0AE" w14:textId="77777777" w:rsidR="00DC50FE" w:rsidRDefault="00DC50FE" w:rsidP="00DC50FE">
      <w:pPr>
        <w:pStyle w:val="Paragraphedeliste"/>
        <w:numPr>
          <w:ilvl w:val="1"/>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E</w:t>
      </w:r>
      <w:r w:rsidRPr="00DC50FE">
        <w:rPr>
          <w:rFonts w:ascii="Tahoma" w:hAnsi="Tahoma" w:cs="Tahoma"/>
          <w:color w:val="365F91" w:themeColor="accent1" w:themeShade="BF"/>
          <w:kern w:val="20"/>
          <w:sz w:val="20"/>
        </w:rPr>
        <w:t>n donnant une priorité aux actions suivantes, étant précisé que ces formations ne sont pas hiérarchisées les unes par rapport aux autres :</w:t>
      </w:r>
    </w:p>
    <w:p w14:paraId="72D983DB" w14:textId="59190093" w:rsidR="00EA289B" w:rsidRPr="00DC50FE" w:rsidRDefault="00EA289B" w:rsidP="00DC50FE">
      <w:pPr>
        <w:pStyle w:val="Paragraphedeliste"/>
        <w:numPr>
          <w:ilvl w:val="2"/>
          <w:numId w:val="14"/>
        </w:numPr>
        <w:spacing w:after="0" w:line="240" w:lineRule="auto"/>
        <w:rPr>
          <w:rFonts w:ascii="Tahoma" w:hAnsi="Tahoma" w:cs="Tahoma"/>
          <w:color w:val="365F91" w:themeColor="accent1" w:themeShade="BF"/>
          <w:kern w:val="20"/>
          <w:sz w:val="20"/>
        </w:rPr>
      </w:pPr>
      <w:r w:rsidRPr="00DC50FE">
        <w:rPr>
          <w:rFonts w:ascii="Tahoma" w:hAnsi="Tahoma" w:cs="Tahoma"/>
          <w:color w:val="365F91" w:themeColor="accent1" w:themeShade="BF"/>
          <w:kern w:val="20"/>
          <w:sz w:val="20"/>
        </w:rPr>
        <w:t>Formation dans le cadre d’une prévention d’un risque d’inaptitude physique confirmé par le médecin de prévention</w:t>
      </w:r>
    </w:p>
    <w:p w14:paraId="1DA4538F" w14:textId="39FE2F03" w:rsidR="00EA289B" w:rsidRPr="00EA289B" w:rsidRDefault="00EA289B" w:rsidP="00EA289B">
      <w:pPr>
        <w:pStyle w:val="Paragraphedeliste"/>
        <w:numPr>
          <w:ilvl w:val="2"/>
          <w:numId w:val="14"/>
        </w:numPr>
        <w:spacing w:after="0" w:line="240" w:lineRule="auto"/>
        <w:rPr>
          <w:rFonts w:ascii="Tahoma" w:hAnsi="Tahoma" w:cs="Tahoma"/>
          <w:color w:val="365F91" w:themeColor="accent1" w:themeShade="BF"/>
          <w:kern w:val="20"/>
          <w:sz w:val="20"/>
        </w:rPr>
      </w:pPr>
      <w:r w:rsidRPr="00EA289B">
        <w:rPr>
          <w:rFonts w:ascii="Tahoma" w:hAnsi="Tahoma" w:cs="Tahoma"/>
          <w:color w:val="365F91" w:themeColor="accent1" w:themeShade="BF"/>
          <w:kern w:val="20"/>
          <w:sz w:val="20"/>
        </w:rPr>
        <w:t>Formation à la validation des acquis de l’expérience (VAE) par un diplôme, un titre ou une certification inscrite au répertoire national des certifications professionnelles (RNCP)</w:t>
      </w:r>
    </w:p>
    <w:p w14:paraId="4426571C" w14:textId="38E9FA46" w:rsidR="00EA289B" w:rsidRDefault="00EA289B" w:rsidP="00EA289B">
      <w:pPr>
        <w:pStyle w:val="Paragraphedeliste"/>
        <w:numPr>
          <w:ilvl w:val="2"/>
          <w:numId w:val="14"/>
        </w:numPr>
        <w:spacing w:after="0" w:line="240" w:lineRule="auto"/>
        <w:rPr>
          <w:rFonts w:ascii="Tahoma" w:hAnsi="Tahoma" w:cs="Tahoma"/>
          <w:color w:val="365F91" w:themeColor="accent1" w:themeShade="BF"/>
          <w:kern w:val="20"/>
          <w:sz w:val="20"/>
        </w:rPr>
      </w:pPr>
      <w:r w:rsidRPr="00EA289B">
        <w:rPr>
          <w:rFonts w:ascii="Tahoma" w:hAnsi="Tahoma" w:cs="Tahoma"/>
          <w:color w:val="365F91" w:themeColor="accent1" w:themeShade="BF"/>
          <w:kern w:val="20"/>
          <w:sz w:val="20"/>
        </w:rPr>
        <w:t>Formation de préparation aux concours et examens</w:t>
      </w:r>
    </w:p>
    <w:p w14:paraId="033312CB" w14:textId="77777777" w:rsidR="00F33BE3" w:rsidRPr="00EA289B" w:rsidRDefault="00F33BE3" w:rsidP="00F33BE3">
      <w:pPr>
        <w:pStyle w:val="Paragraphedeliste"/>
        <w:spacing w:after="0" w:line="240" w:lineRule="auto"/>
        <w:ind w:left="2083"/>
        <w:rPr>
          <w:rFonts w:ascii="Tahoma" w:hAnsi="Tahoma" w:cs="Tahoma"/>
          <w:color w:val="365F91" w:themeColor="accent1" w:themeShade="BF"/>
          <w:kern w:val="20"/>
          <w:sz w:val="20"/>
        </w:rPr>
      </w:pPr>
    </w:p>
    <w:p w14:paraId="370A8EA9" w14:textId="42E9A05B" w:rsidR="00EA289B" w:rsidRPr="00DC50FE" w:rsidRDefault="00DC50FE" w:rsidP="00DC50FE">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Q</w:t>
      </w:r>
      <w:r w:rsidRPr="00DC50FE">
        <w:rPr>
          <w:rFonts w:ascii="Tahoma" w:hAnsi="Tahoma" w:cs="Tahoma"/>
          <w:color w:val="365F91" w:themeColor="accent1" w:themeShade="BF"/>
          <w:kern w:val="20"/>
          <w:sz w:val="20"/>
        </w:rPr>
        <w:t xml:space="preserve">ue l’autorité territoriale ne </w:t>
      </w:r>
      <w:proofErr w:type="gramStart"/>
      <w:r w:rsidRPr="00DC50FE">
        <w:rPr>
          <w:rFonts w:ascii="Tahoma" w:hAnsi="Tahoma" w:cs="Tahoma"/>
          <w:color w:val="365F91" w:themeColor="accent1" w:themeShade="BF"/>
          <w:kern w:val="20"/>
          <w:sz w:val="20"/>
        </w:rPr>
        <w:t>peut</w:t>
      </w:r>
      <w:proofErr w:type="gramEnd"/>
      <w:r w:rsidRPr="00DC50FE">
        <w:rPr>
          <w:rFonts w:ascii="Tahoma" w:hAnsi="Tahoma" w:cs="Tahoma"/>
          <w:color w:val="365F91" w:themeColor="accent1" w:themeShade="BF"/>
          <w:kern w:val="20"/>
          <w:sz w:val="20"/>
        </w:rPr>
        <w:t xml:space="preserve"> s’opposer, qu’au vu des nécessités de service, à une demande de formation relevant du socle de connaissances et de compétences, sollicité par un agent de catégorie C n’ayant pas de diplôme professionnel de niveau V ou de diplôme de niveau supérieur</w:t>
      </w:r>
      <w:r>
        <w:rPr>
          <w:rFonts w:ascii="Tahoma" w:hAnsi="Tahoma" w:cs="Tahoma"/>
          <w:color w:val="365F91" w:themeColor="accent1" w:themeShade="BF"/>
          <w:kern w:val="20"/>
          <w:sz w:val="20"/>
        </w:rPr>
        <w:t>, ainsi, s</w:t>
      </w:r>
      <w:r w:rsidRPr="00DC50FE">
        <w:rPr>
          <w:rFonts w:ascii="Tahoma" w:hAnsi="Tahoma" w:cs="Tahoma"/>
          <w:color w:val="365F91" w:themeColor="accent1" w:themeShade="BF"/>
          <w:kern w:val="20"/>
          <w:sz w:val="20"/>
        </w:rPr>
        <w:t>eul un report du suivi de cette formation sur l’année suivante est autorisé.</w:t>
      </w:r>
    </w:p>
    <w:p w14:paraId="42FB08F8" w14:textId="77777777" w:rsidR="00C87236" w:rsidRDefault="00C87236" w:rsidP="00C87236">
      <w:pPr>
        <w:pStyle w:val="Paragraphedeliste"/>
        <w:spacing w:after="0" w:line="240" w:lineRule="auto"/>
        <w:ind w:left="643"/>
        <w:rPr>
          <w:rFonts w:ascii="Tahoma" w:hAnsi="Tahoma" w:cs="Tahoma"/>
          <w:color w:val="365F91" w:themeColor="accent1" w:themeShade="BF"/>
          <w:kern w:val="20"/>
          <w:sz w:val="20"/>
        </w:rPr>
      </w:pPr>
    </w:p>
    <w:p w14:paraId="47A05A59" w14:textId="46AFAA6C" w:rsidR="00C87236" w:rsidRDefault="00C87236" w:rsidP="00A15C13">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 xml:space="preserve">Qu’un plafond de </w:t>
      </w:r>
      <w:r w:rsidRPr="00F33BE3">
        <w:rPr>
          <w:rFonts w:ascii="Tahoma" w:hAnsi="Tahoma" w:cs="Tahoma"/>
          <w:i/>
          <w:iCs/>
          <w:color w:val="00B0F0"/>
          <w:kern w:val="20"/>
          <w:sz w:val="20"/>
        </w:rPr>
        <w:t>…</w:t>
      </w:r>
      <w:r w:rsidRPr="00F33BE3">
        <w:rPr>
          <w:rFonts w:ascii="Tahoma" w:hAnsi="Tahoma" w:cs="Tahoma"/>
          <w:color w:val="00B0F0"/>
          <w:kern w:val="20"/>
          <w:sz w:val="20"/>
        </w:rPr>
        <w:t xml:space="preserve"> </w:t>
      </w:r>
      <w:r>
        <w:rPr>
          <w:rFonts w:ascii="Tahoma" w:hAnsi="Tahoma" w:cs="Tahoma"/>
          <w:color w:val="365F91" w:themeColor="accent1" w:themeShade="BF"/>
          <w:kern w:val="20"/>
          <w:sz w:val="20"/>
        </w:rPr>
        <w:t xml:space="preserve">€ par formation soit institué </w:t>
      </w:r>
      <w:r w:rsidRPr="00C87236">
        <w:rPr>
          <w:rFonts w:ascii="Tahoma" w:hAnsi="Tahoma" w:cs="Tahoma"/>
          <w:color w:val="365F91" w:themeColor="accent1" w:themeShade="BF"/>
          <w:kern w:val="20"/>
          <w:sz w:val="20"/>
        </w:rPr>
        <w:t>pour toute demande de formation au titre du CPF, à l’exception des formations relevant du socle de connaissances et compétences mentionné à l’article L.6121-2 du code du travail, qui pourront donner lieu à une prise en charge intégrale.</w:t>
      </w:r>
    </w:p>
    <w:p w14:paraId="6DB6D881" w14:textId="77777777" w:rsidR="00C87236" w:rsidRPr="00C87236" w:rsidRDefault="00C87236" w:rsidP="00C87236">
      <w:pPr>
        <w:pStyle w:val="Paragraphedeliste"/>
        <w:rPr>
          <w:rFonts w:ascii="Tahoma" w:hAnsi="Tahoma" w:cs="Tahoma"/>
          <w:color w:val="365F91" w:themeColor="accent1" w:themeShade="BF"/>
          <w:kern w:val="20"/>
          <w:sz w:val="20"/>
        </w:rPr>
      </w:pPr>
    </w:p>
    <w:p w14:paraId="170E5D06" w14:textId="57114561" w:rsidR="00C87236" w:rsidRDefault="003474D8" w:rsidP="00A15C13">
      <w:pPr>
        <w:pStyle w:val="Paragraphedeliste"/>
        <w:numPr>
          <w:ilvl w:val="0"/>
          <w:numId w:val="14"/>
        </w:numPr>
        <w:spacing w:after="0" w:line="240" w:lineRule="auto"/>
        <w:rPr>
          <w:rFonts w:ascii="Tahoma" w:hAnsi="Tahoma" w:cs="Tahoma"/>
          <w:color w:val="365F91" w:themeColor="accent1" w:themeShade="BF"/>
          <w:kern w:val="20"/>
          <w:sz w:val="20"/>
        </w:rPr>
      </w:pPr>
      <w:r w:rsidRPr="003474D8">
        <w:rPr>
          <w:rFonts w:ascii="Tahoma" w:hAnsi="Tahoma" w:cs="Tahoma"/>
          <w:i/>
          <w:iCs/>
          <w:color w:val="00B0F0"/>
          <w:kern w:val="20"/>
          <w:sz w:val="20"/>
        </w:rPr>
        <w:t>(Optionnel)</w:t>
      </w:r>
      <w:r w:rsidRPr="003474D8">
        <w:rPr>
          <w:rFonts w:ascii="Tahoma" w:hAnsi="Tahoma" w:cs="Tahoma"/>
          <w:color w:val="00B0F0"/>
          <w:kern w:val="20"/>
          <w:sz w:val="20"/>
        </w:rPr>
        <w:t xml:space="preserve"> </w:t>
      </w:r>
      <w:r w:rsidR="00C87236">
        <w:rPr>
          <w:rFonts w:ascii="Tahoma" w:hAnsi="Tahoma" w:cs="Tahoma"/>
          <w:color w:val="365F91" w:themeColor="accent1" w:themeShade="BF"/>
          <w:kern w:val="20"/>
          <w:sz w:val="20"/>
        </w:rPr>
        <w:t xml:space="preserve">Que les frais de déplacement sont pris en charge selon les modalités en vigueur pour les agents de </w:t>
      </w:r>
      <w:r w:rsidR="00C87236" w:rsidRPr="00C87236">
        <w:rPr>
          <w:rFonts w:ascii="Tahoma" w:hAnsi="Tahoma" w:cs="Tahoma"/>
          <w:color w:val="00B0F0"/>
          <w:kern w:val="20"/>
          <w:sz w:val="20"/>
        </w:rPr>
        <w:t xml:space="preserve">… </w:t>
      </w:r>
      <w:r w:rsidR="00C87236">
        <w:rPr>
          <w:rFonts w:ascii="Tahoma" w:hAnsi="Tahoma" w:cs="Tahoma"/>
          <w:color w:val="365F91" w:themeColor="accent1" w:themeShade="BF"/>
          <w:kern w:val="20"/>
          <w:sz w:val="20"/>
        </w:rPr>
        <w:t xml:space="preserve">dans le cadre </w:t>
      </w:r>
      <w:r w:rsidR="00C87236" w:rsidRPr="00C87236">
        <w:rPr>
          <w:rFonts w:ascii="Tahoma" w:hAnsi="Tahoma" w:cs="Tahoma"/>
          <w:color w:val="365F91" w:themeColor="accent1" w:themeShade="BF"/>
          <w:kern w:val="20"/>
          <w:sz w:val="20"/>
        </w:rPr>
        <w:t xml:space="preserve">du guide des frais de déplacement, dans la limite de </w:t>
      </w:r>
      <w:r w:rsidR="00C87236" w:rsidRPr="00C87236">
        <w:rPr>
          <w:rFonts w:ascii="Tahoma" w:hAnsi="Tahoma" w:cs="Tahoma"/>
          <w:color w:val="00B0F0"/>
          <w:kern w:val="20"/>
          <w:sz w:val="20"/>
        </w:rPr>
        <w:t xml:space="preserve">…% </w:t>
      </w:r>
      <w:r w:rsidR="00C87236" w:rsidRPr="00C87236">
        <w:rPr>
          <w:rFonts w:ascii="Tahoma" w:hAnsi="Tahoma" w:cs="Tahoma"/>
          <w:color w:val="365F91" w:themeColor="accent1" w:themeShade="BF"/>
          <w:kern w:val="20"/>
          <w:sz w:val="20"/>
        </w:rPr>
        <w:t>des frais pédagogiques pris en charge.</w:t>
      </w:r>
    </w:p>
    <w:p w14:paraId="596A993C" w14:textId="77777777" w:rsidR="00C87236" w:rsidRDefault="00C87236" w:rsidP="00C87236">
      <w:pPr>
        <w:pStyle w:val="Paragraphedeliste"/>
        <w:spacing w:after="0" w:line="240" w:lineRule="auto"/>
        <w:ind w:left="643"/>
        <w:rPr>
          <w:rFonts w:ascii="Tahoma" w:hAnsi="Tahoma" w:cs="Tahoma"/>
          <w:color w:val="365F91" w:themeColor="accent1" w:themeShade="BF"/>
          <w:kern w:val="20"/>
          <w:sz w:val="20"/>
        </w:rPr>
      </w:pPr>
    </w:p>
    <w:p w14:paraId="450478B7" w14:textId="40DC0C1F" w:rsidR="00C87236" w:rsidRDefault="00C87236" w:rsidP="00A15C13">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 xml:space="preserve">Qu’en cas </w:t>
      </w:r>
      <w:r w:rsidRPr="00C87236">
        <w:rPr>
          <w:rFonts w:ascii="Tahoma" w:hAnsi="Tahoma" w:cs="Tahoma"/>
          <w:color w:val="365F91" w:themeColor="accent1" w:themeShade="BF"/>
          <w:kern w:val="20"/>
          <w:sz w:val="20"/>
        </w:rPr>
        <w:t xml:space="preserve">de constat d'absence de suivi de tout ou partie de la formation sans motif valable, l'agent doive rembourser </w:t>
      </w:r>
      <w:r w:rsidR="00F33BE3" w:rsidRPr="00C87236">
        <w:rPr>
          <w:rFonts w:ascii="Tahoma" w:hAnsi="Tahoma" w:cs="Tahoma"/>
          <w:color w:val="365F91" w:themeColor="accent1" w:themeShade="BF"/>
          <w:kern w:val="20"/>
          <w:sz w:val="20"/>
        </w:rPr>
        <w:t>les frais avancés</w:t>
      </w:r>
      <w:r w:rsidRPr="00C87236">
        <w:rPr>
          <w:rFonts w:ascii="Tahoma" w:hAnsi="Tahoma" w:cs="Tahoma"/>
          <w:color w:val="365F91" w:themeColor="accent1" w:themeShade="BF"/>
          <w:kern w:val="20"/>
          <w:sz w:val="20"/>
        </w:rPr>
        <w:t xml:space="preserve"> par la collectivité.</w:t>
      </w:r>
    </w:p>
    <w:p w14:paraId="2911AEA2" w14:textId="48C66289" w:rsidR="004F6862" w:rsidRDefault="004F6862" w:rsidP="004F6862">
      <w:pPr>
        <w:spacing w:after="0" w:line="240" w:lineRule="auto"/>
        <w:rPr>
          <w:rFonts w:ascii="Tahoma" w:hAnsi="Tahoma" w:cs="Tahoma"/>
          <w:color w:val="365F91" w:themeColor="accent1" w:themeShade="BF"/>
          <w:kern w:val="20"/>
          <w:sz w:val="20"/>
        </w:rPr>
      </w:pPr>
    </w:p>
    <w:p w14:paraId="2C1D513A" w14:textId="5DADF943" w:rsidR="00513EA7" w:rsidRDefault="004B0F32" w:rsidP="00513EA7">
      <w:pPr>
        <w:pStyle w:val="Paragraphedeliste"/>
        <w:numPr>
          <w:ilvl w:val="0"/>
          <w:numId w:val="14"/>
        </w:numPr>
        <w:spacing w:after="0" w:line="240" w:lineRule="auto"/>
        <w:rPr>
          <w:rFonts w:ascii="Tahoma" w:hAnsi="Tahoma" w:cs="Tahoma"/>
          <w:color w:val="365F91" w:themeColor="accent1" w:themeShade="BF"/>
          <w:kern w:val="20"/>
          <w:sz w:val="20"/>
        </w:rPr>
      </w:pPr>
      <w:r w:rsidRPr="00460976">
        <w:rPr>
          <w:rFonts w:ascii="Tahoma" w:hAnsi="Tahoma" w:cs="Tahoma"/>
          <w:color w:val="365F91" w:themeColor="accent1" w:themeShade="BF"/>
          <w:kern w:val="20"/>
          <w:sz w:val="20"/>
        </w:rPr>
        <w:t>Que, sauf disposition expresse de l’assemblée délibérante prise sur un nouvel avis du Comité Social Territorial compétent, ces dispositions seront reconduites tacitement chaque année</w:t>
      </w:r>
      <w:r w:rsidR="000E145B" w:rsidRPr="00460976">
        <w:rPr>
          <w:rFonts w:ascii="Tahoma" w:hAnsi="Tahoma" w:cs="Tahoma"/>
          <w:color w:val="365F91" w:themeColor="accent1" w:themeShade="BF"/>
          <w:kern w:val="20"/>
          <w:sz w:val="20"/>
        </w:rPr>
        <w:t> ;</w:t>
      </w:r>
    </w:p>
    <w:p w14:paraId="764067C9" w14:textId="77777777" w:rsidR="00513EA7" w:rsidRDefault="00513EA7" w:rsidP="00513EA7">
      <w:pPr>
        <w:pStyle w:val="Paragraphedeliste"/>
        <w:spacing w:after="0" w:line="240" w:lineRule="auto"/>
        <w:ind w:left="643"/>
        <w:rPr>
          <w:rFonts w:ascii="Tahoma" w:hAnsi="Tahoma" w:cs="Tahoma"/>
          <w:color w:val="365F91" w:themeColor="accent1" w:themeShade="BF"/>
          <w:kern w:val="20"/>
          <w:sz w:val="20"/>
        </w:rPr>
      </w:pPr>
    </w:p>
    <w:p w14:paraId="3B898916" w14:textId="40442BA4" w:rsidR="00513EA7" w:rsidRDefault="00513EA7" w:rsidP="00513EA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 xml:space="preserve">D’inscrire au budget </w:t>
      </w:r>
      <w:r w:rsidR="00953205">
        <w:rPr>
          <w:rFonts w:ascii="Tahoma" w:hAnsi="Tahoma" w:cs="Tahoma"/>
          <w:color w:val="365F91" w:themeColor="accent1" w:themeShade="BF"/>
          <w:kern w:val="20"/>
          <w:sz w:val="20"/>
        </w:rPr>
        <w:t>l</w:t>
      </w:r>
      <w:r>
        <w:rPr>
          <w:rFonts w:ascii="Tahoma" w:hAnsi="Tahoma" w:cs="Tahoma"/>
          <w:color w:val="365F91" w:themeColor="accent1" w:themeShade="BF"/>
          <w:kern w:val="20"/>
          <w:sz w:val="20"/>
        </w:rPr>
        <w:t>es crédits correspondants ;</w:t>
      </w:r>
    </w:p>
    <w:p w14:paraId="16B29AD9" w14:textId="77777777" w:rsidR="00460976" w:rsidRPr="00181DEC" w:rsidRDefault="00460976" w:rsidP="00181DEC">
      <w:pPr>
        <w:spacing w:after="0" w:line="240" w:lineRule="auto"/>
        <w:rPr>
          <w:rFonts w:ascii="Tahoma" w:hAnsi="Tahoma" w:cs="Tahoma"/>
          <w:color w:val="365F91" w:themeColor="accent1" w:themeShade="BF"/>
          <w:kern w:val="20"/>
          <w:sz w:val="20"/>
        </w:rPr>
      </w:pPr>
    </w:p>
    <w:p w14:paraId="33C1CCA0" w14:textId="3FF1B622" w:rsidR="003C45F6" w:rsidRPr="00750A68" w:rsidRDefault="00460976" w:rsidP="00A82D7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w:t>
      </w:r>
      <w:r w:rsidR="008D4406" w:rsidRPr="00460976">
        <w:rPr>
          <w:rFonts w:ascii="Tahoma" w:hAnsi="Tahoma" w:cs="Tahoma"/>
          <w:color w:val="365F91" w:themeColor="accent1" w:themeShade="BF"/>
          <w:kern w:val="20"/>
          <w:sz w:val="20"/>
        </w:rPr>
        <w:t xml:space="preserve">e charger l’autorité territoriale de </w:t>
      </w:r>
      <w:r w:rsidR="000E145B" w:rsidRPr="00460976">
        <w:rPr>
          <w:rFonts w:ascii="Tahoma" w:hAnsi="Tahoma" w:cs="Tahoma"/>
          <w:color w:val="365F91" w:themeColor="accent1" w:themeShade="BF"/>
          <w:kern w:val="20"/>
          <w:sz w:val="20"/>
        </w:rPr>
        <w:t>veiller à la bonne exécution de c</w:t>
      </w:r>
      <w:r w:rsidR="006D0055" w:rsidRPr="00460976">
        <w:rPr>
          <w:rFonts w:ascii="Tahoma" w:hAnsi="Tahoma" w:cs="Tahoma"/>
          <w:color w:val="365F91" w:themeColor="accent1" w:themeShade="BF"/>
          <w:kern w:val="20"/>
          <w:sz w:val="20"/>
        </w:rPr>
        <w:t xml:space="preserve">ette délibération, qui prend effet à partir du </w:t>
      </w:r>
      <w:r w:rsidR="006D0055" w:rsidRPr="00460976">
        <w:rPr>
          <w:rFonts w:ascii="Tahoma" w:hAnsi="Tahoma" w:cs="Tahoma"/>
          <w:color w:val="00B0F0"/>
          <w:kern w:val="20"/>
          <w:sz w:val="20"/>
        </w:rPr>
        <w:t>…</w:t>
      </w:r>
      <w:r w:rsidR="005D0A2B">
        <w:rPr>
          <w:rFonts w:ascii="Tahoma" w:hAnsi="Tahoma" w:cs="Tahoma"/>
          <w:color w:val="00B0F0"/>
          <w:kern w:val="20"/>
          <w:sz w:val="20"/>
        </w:rPr>
        <w:t>………</w:t>
      </w:r>
      <w:r w:rsidR="006D0055" w:rsidRPr="00460976">
        <w:rPr>
          <w:rFonts w:ascii="Tahoma" w:hAnsi="Tahoma" w:cs="Tahoma"/>
          <w:color w:val="365F91" w:themeColor="accent1" w:themeShade="BF"/>
          <w:kern w:val="20"/>
          <w:sz w:val="20"/>
        </w:rPr>
        <w:t xml:space="preserve"> </w:t>
      </w:r>
      <w:r w:rsidR="00A37282" w:rsidRPr="00460976">
        <w:rPr>
          <w:rFonts w:ascii="Tahoma" w:hAnsi="Tahoma" w:cs="Tahoma"/>
          <w:color w:val="365F91" w:themeColor="accent1" w:themeShade="BF"/>
          <w:kern w:val="20"/>
          <w:sz w:val="20"/>
        </w:rPr>
        <w:t>;</w:t>
      </w:r>
    </w:p>
    <w:p w14:paraId="06CF2858" w14:textId="77777777" w:rsidR="00892223" w:rsidRPr="00DC3775" w:rsidRDefault="009A4A04" w:rsidP="00A448C7">
      <w:pPr>
        <w:pStyle w:val="articlecontenu"/>
        <w:spacing w:after="0"/>
        <w:ind w:left="5664" w:firstLine="0"/>
        <w:rPr>
          <w:rFonts w:ascii="Tahoma" w:hAnsi="Tahoma" w:cs="Tahoma"/>
          <w:color w:val="5F497A"/>
          <w:kern w:val="20"/>
          <w:sz w:val="22"/>
        </w:rPr>
      </w:pPr>
      <w:r w:rsidRPr="00DC3775">
        <w:rPr>
          <w:rFonts w:ascii="Tahoma" w:hAnsi="Tahoma" w:cs="Tahoma"/>
          <w:color w:val="5F497A"/>
          <w:kern w:val="20"/>
          <w:sz w:val="22"/>
        </w:rPr>
        <w:tab/>
      </w:r>
      <w:r w:rsidRPr="00DC3775">
        <w:rPr>
          <w:rFonts w:ascii="Tahoma" w:hAnsi="Tahoma" w:cs="Tahoma"/>
          <w:color w:val="5F497A"/>
          <w:kern w:val="20"/>
          <w:sz w:val="22"/>
        </w:rPr>
        <w:tab/>
      </w:r>
      <w:r w:rsidRPr="00DC3775">
        <w:rPr>
          <w:rFonts w:ascii="Tahoma" w:hAnsi="Tahoma" w:cs="Tahoma"/>
          <w:color w:val="5F497A"/>
          <w:kern w:val="20"/>
          <w:sz w:val="22"/>
        </w:rPr>
        <w:tab/>
      </w:r>
    </w:p>
    <w:p w14:paraId="06CF2859" w14:textId="3263044E" w:rsidR="00892223" w:rsidRPr="007B4C69" w:rsidRDefault="00892223" w:rsidP="00A448C7">
      <w:pPr>
        <w:pStyle w:val="articlecontenu"/>
        <w:spacing w:after="0"/>
        <w:ind w:left="5664" w:firstLine="0"/>
        <w:rPr>
          <w:rFonts w:ascii="Tahoma" w:hAnsi="Tahoma" w:cs="Tahoma"/>
          <w:color w:val="365F91" w:themeColor="accent1" w:themeShade="BF"/>
          <w:kern w:val="20"/>
        </w:rPr>
      </w:pPr>
      <w:r w:rsidRPr="007B4C69">
        <w:rPr>
          <w:rFonts w:ascii="Tahoma" w:hAnsi="Tahoma" w:cs="Tahoma"/>
          <w:color w:val="365F91" w:themeColor="accent1" w:themeShade="BF"/>
          <w:kern w:val="20"/>
        </w:rPr>
        <w:t xml:space="preserve">Fait à </w:t>
      </w:r>
      <w:r w:rsidRPr="005D0A2B">
        <w:rPr>
          <w:rFonts w:ascii="Tahoma" w:hAnsi="Tahoma" w:cs="Tahoma"/>
          <w:color w:val="00B0F0"/>
          <w:kern w:val="20"/>
        </w:rPr>
        <w:t xml:space="preserve">…… </w:t>
      </w:r>
      <w:r w:rsidRPr="007B4C69">
        <w:rPr>
          <w:rFonts w:ascii="Tahoma" w:hAnsi="Tahoma" w:cs="Tahoma"/>
          <w:color w:val="365F91" w:themeColor="accent1" w:themeShade="BF"/>
          <w:kern w:val="20"/>
        </w:rPr>
        <w:t xml:space="preserve">le </w:t>
      </w:r>
      <w:r w:rsidR="005D0A2B" w:rsidRPr="005D0A2B">
        <w:rPr>
          <w:rFonts w:ascii="Tahoma" w:hAnsi="Tahoma" w:cs="Tahoma"/>
          <w:color w:val="00B0F0"/>
          <w:kern w:val="20"/>
        </w:rPr>
        <w:t>……</w:t>
      </w:r>
      <w:r w:rsidRPr="005D0A2B">
        <w:rPr>
          <w:rFonts w:ascii="Tahoma" w:hAnsi="Tahoma" w:cs="Tahoma"/>
          <w:color w:val="00B0F0"/>
          <w:kern w:val="20"/>
        </w:rPr>
        <w:t>,</w:t>
      </w:r>
    </w:p>
    <w:p w14:paraId="06CF285A"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color w:val="365F91" w:themeColor="accent1" w:themeShade="BF"/>
          <w:kern w:val="20"/>
        </w:rPr>
        <w:t>Le Maire</w:t>
      </w:r>
      <w:r w:rsidRPr="007B4C69">
        <w:rPr>
          <w:rFonts w:ascii="Tahoma" w:hAnsi="Tahoma" w:cs="Tahoma"/>
          <w:color w:val="5F497A"/>
          <w:kern w:val="20"/>
        </w:rPr>
        <w:t xml:space="preserve"> </w:t>
      </w:r>
      <w:r w:rsidRPr="007B4C69">
        <w:rPr>
          <w:rFonts w:ascii="Tahoma" w:hAnsi="Tahoma" w:cs="Tahoma"/>
          <w:i/>
          <w:color w:val="00B0F0"/>
        </w:rPr>
        <w:t>(le président),</w:t>
      </w:r>
    </w:p>
    <w:p w14:paraId="06CF285B"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lisibles et signature)</w:t>
      </w:r>
    </w:p>
    <w:p w14:paraId="06CF285C" w14:textId="77777777" w:rsidR="00892223" w:rsidRPr="007B4C69" w:rsidRDefault="00892223" w:rsidP="00A448C7">
      <w:pPr>
        <w:pStyle w:val="articlecontenu"/>
        <w:spacing w:after="0"/>
        <w:ind w:left="5664" w:firstLine="0"/>
        <w:rPr>
          <w:rFonts w:ascii="Tahoma" w:hAnsi="Tahoma" w:cs="Tahoma"/>
          <w:i/>
          <w:color w:val="00B0F0"/>
        </w:rPr>
      </w:pPr>
      <w:proofErr w:type="gramStart"/>
      <w:r w:rsidRPr="007B4C69">
        <w:rPr>
          <w:rFonts w:ascii="Tahoma" w:hAnsi="Tahoma" w:cs="Tahoma"/>
          <w:i/>
          <w:color w:val="00B0F0"/>
        </w:rPr>
        <w:t>ou</w:t>
      </w:r>
      <w:proofErr w:type="gramEnd"/>
    </w:p>
    <w:p w14:paraId="06CF285D"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Par délégation,</w:t>
      </w:r>
    </w:p>
    <w:p w14:paraId="06CF285E"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qualité lisibles et signature)</w:t>
      </w:r>
    </w:p>
    <w:p w14:paraId="06CF285F" w14:textId="77777777" w:rsidR="009A4A04" w:rsidRDefault="009A4A04" w:rsidP="00A448C7">
      <w:pPr>
        <w:spacing w:after="0" w:line="240" w:lineRule="auto"/>
        <w:outlineLvl w:val="0"/>
        <w:rPr>
          <w:rFonts w:ascii="Tahoma" w:hAnsi="Tahoma" w:cs="Tahoma"/>
          <w:szCs w:val="22"/>
        </w:rPr>
      </w:pPr>
    </w:p>
    <w:p w14:paraId="06CF2860" w14:textId="77777777" w:rsidR="00937908" w:rsidRPr="007C43BC" w:rsidRDefault="00937908" w:rsidP="00937908">
      <w:pPr>
        <w:pStyle w:val="recours"/>
        <w:ind w:left="0" w:right="0"/>
        <w:rPr>
          <w:rFonts w:ascii="Tahoma" w:hAnsi="Tahoma" w:cs="Tahoma"/>
          <w:color w:val="5F497A"/>
        </w:rPr>
      </w:pPr>
      <w:r w:rsidRPr="007C43BC">
        <w:rPr>
          <w:rFonts w:ascii="Tahoma" w:eastAsia="Calibri" w:hAnsi="Tahoma" w:cs="Tahoma"/>
          <w:color w:val="1F497D" w:themeColor="text2"/>
          <w:kern w:val="20"/>
          <w:lang w:eastAsia="fr-FR"/>
        </w:rPr>
        <w:t>Le Maire</w:t>
      </w:r>
      <w:r w:rsidRPr="007C43BC">
        <w:rPr>
          <w:rFonts w:ascii="Tahoma" w:hAnsi="Tahoma" w:cs="Tahoma"/>
          <w:color w:val="5F497A"/>
        </w:rPr>
        <w:t xml:space="preserve"> </w:t>
      </w:r>
      <w:r w:rsidRPr="00C74017">
        <w:rPr>
          <w:rFonts w:ascii="Tahoma" w:hAnsi="Tahoma"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line="240" w:lineRule="auto"/>
        <w:rPr>
          <w:rFonts w:ascii="Tahoma" w:eastAsia="Calibri" w:hAnsi="Tahoma" w:cs="Tahoma"/>
          <w:color w:val="1F497D" w:themeColor="text2"/>
          <w:kern w:val="20"/>
          <w:sz w:val="16"/>
          <w:szCs w:val="16"/>
        </w:rPr>
      </w:pPr>
      <w:r w:rsidRPr="00B109B6">
        <w:rPr>
          <w:rFonts w:ascii="Tahoma" w:eastAsia="Calibri" w:hAnsi="Tahoma" w:cs="Tahoma"/>
          <w:color w:val="1F497D" w:themeColor="text2"/>
          <w:kern w:val="20"/>
          <w:sz w:val="16"/>
          <w:szCs w:val="16"/>
        </w:rPr>
        <w:t>Certifie</w:t>
      </w:r>
      <w:r w:rsidR="00937908" w:rsidRPr="00B109B6">
        <w:rPr>
          <w:rFonts w:ascii="Tahoma" w:eastAsia="Calibri" w:hAnsi="Tahoma" w:cs="Tahoma"/>
          <w:color w:val="1F497D" w:themeColor="text2"/>
          <w:kern w:val="20"/>
          <w:sz w:val="16"/>
          <w:szCs w:val="16"/>
        </w:rPr>
        <w:t xml:space="preserve"> le caractère exécutoire de cet acte</w:t>
      </w:r>
      <w:r w:rsidR="00842B3D">
        <w:rPr>
          <w:rFonts w:ascii="Tahoma" w:eastAsia="Calibri" w:hAnsi="Tahoma" w:cs="Tahoma"/>
          <w:color w:val="1F497D" w:themeColor="text2"/>
          <w:kern w:val="20"/>
          <w:sz w:val="16"/>
          <w:szCs w:val="16"/>
        </w:rPr>
        <w:t xml:space="preserve">, </w:t>
      </w:r>
      <w:r w:rsidR="00937908" w:rsidRPr="00B109B6">
        <w:rPr>
          <w:rFonts w:ascii="Tahoma" w:eastAsia="Calibri" w:hAnsi="Tahoma"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ascii="Tahoma" w:eastAsia="Calibri" w:hAnsi="Tahoma" w:cs="Tahoma"/>
          <w:b/>
          <w:color w:val="1F497D" w:themeColor="text2"/>
          <w:kern w:val="20"/>
          <w:sz w:val="22"/>
          <w:szCs w:val="22"/>
          <w:u w:val="single"/>
          <w:lang w:eastAsia="fr-FR"/>
        </w:rPr>
      </w:pPr>
      <w:r w:rsidRPr="00B109B6">
        <w:rPr>
          <w:rFonts w:ascii="Tahoma" w:eastAsia="Calibri" w:hAnsi="Tahoma" w:cs="Tahoma"/>
          <w:color w:val="1F497D" w:themeColor="text2"/>
          <w:kern w:val="20"/>
          <w:lang w:eastAsia="fr-FR"/>
        </w:rPr>
        <w:t>Informe</w:t>
      </w:r>
      <w:r w:rsidR="00937908" w:rsidRPr="00B109B6">
        <w:rPr>
          <w:rFonts w:ascii="Tahoma" w:eastAsia="Calibri" w:hAnsi="Tahoma"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ascii="Tahoma" w:eastAsia="Calibri" w:hAnsi="Tahoma" w:cs="Tahoma"/>
          <w:color w:val="1F497D" w:themeColor="text2"/>
          <w:kern w:val="20"/>
          <w:lang w:eastAsia="fr-FR"/>
        </w:rPr>
        <w:t xml:space="preserve">de l’obtention de ce caractère </w:t>
      </w:r>
      <w:r w:rsidR="00842B3D">
        <w:rPr>
          <w:rFonts w:ascii="Tahoma" w:eastAsia="Calibri" w:hAnsi="Tahoma" w:cs="Tahoma"/>
          <w:color w:val="1F497D" w:themeColor="text2"/>
          <w:kern w:val="20"/>
          <w:lang w:eastAsia="fr-FR"/>
        </w:rPr>
        <w:t xml:space="preserve">exécutoire. </w:t>
      </w:r>
      <w:r w:rsidR="00937908" w:rsidRPr="00B109B6">
        <w:rPr>
          <w:rFonts w:ascii="Tahoma" w:eastAsia="Calibri" w:hAnsi="Tahoma"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ascii="Tahoma" w:eastAsia="Calibri" w:hAnsi="Tahoma" w:cs="Tahoma"/>
            <w:b/>
            <w:color w:val="1F497D" w:themeColor="text2"/>
            <w:kern w:val="20"/>
            <w:u w:val="single"/>
            <w:lang w:eastAsia="fr-FR"/>
          </w:rPr>
          <w:t>www.telerecours.fr</w:t>
        </w:r>
      </w:hyperlink>
    </w:p>
    <w:p w14:paraId="06CF2863" w14:textId="77777777" w:rsidR="00937908" w:rsidRDefault="00937908" w:rsidP="00A448C7">
      <w:pPr>
        <w:spacing w:after="0" w:line="240" w:lineRule="auto"/>
        <w:outlineLvl w:val="0"/>
        <w:rPr>
          <w:rFonts w:ascii="Tahoma" w:hAnsi="Tahoma" w:cs="Tahoma"/>
          <w:color w:val="365F91" w:themeColor="accent1" w:themeShade="BF"/>
          <w:kern w:val="20"/>
          <w:szCs w:val="22"/>
        </w:rPr>
      </w:pPr>
    </w:p>
    <w:p w14:paraId="06CF2865" w14:textId="77777777" w:rsidR="007A0F13" w:rsidRPr="007B4C69" w:rsidRDefault="007A0F13" w:rsidP="00A448C7">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Transmis au représentant de l’Etat le : </w:t>
      </w:r>
      <w:r w:rsidRPr="005D0A2B">
        <w:rPr>
          <w:rFonts w:ascii="Tahoma" w:hAnsi="Tahoma" w:cs="Tahoma"/>
          <w:color w:val="00B0F0"/>
          <w:kern w:val="20"/>
          <w:sz w:val="20"/>
        </w:rPr>
        <w:t>……….</w:t>
      </w:r>
    </w:p>
    <w:p w14:paraId="0E195A50" w14:textId="4E73C596" w:rsidR="009A4A04" w:rsidRPr="004B0F32" w:rsidRDefault="007A0F13" w:rsidP="004B0F32">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Publié le : </w:t>
      </w:r>
      <w:r w:rsidRPr="005D0A2B">
        <w:rPr>
          <w:rFonts w:ascii="Tahoma" w:hAnsi="Tahoma" w:cs="Tahoma"/>
          <w:color w:val="00B0F0"/>
          <w:kern w:val="20"/>
          <w:sz w:val="20"/>
        </w:rPr>
        <w:t>………………</w:t>
      </w:r>
    </w:p>
    <w:sectPr w:rsidR="009A4A04" w:rsidRPr="004B0F32" w:rsidSect="0094379A">
      <w:headerReference w:type="default" r:id="rId13"/>
      <w:footerReference w:type="default" r:id="rId14"/>
      <w:headerReference w:type="first" r:id="rId15"/>
      <w:footerReference w:type="first" r:id="rId16"/>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line="240" w:lineRule="auto"/>
      </w:pPr>
      <w:r>
        <w:separator/>
      </w:r>
    </w:p>
  </w:endnote>
  <w:endnote w:type="continuationSeparator" w:id="0">
    <w:p w14:paraId="514955C7" w14:textId="77777777" w:rsidR="00A924F9" w:rsidRDefault="00A924F9" w:rsidP="00E27274">
      <w:pPr>
        <w:spacing w:after="0" w:line="240" w:lineRule="auto"/>
      </w:pPr>
      <w:r>
        <w:continuationSeparator/>
      </w:r>
    </w:p>
  </w:endnote>
  <w:endnote w:type="continuationNotice" w:id="1">
    <w:p w14:paraId="341838DD" w14:textId="77777777" w:rsidR="00A924F9" w:rsidRDefault="00A9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line="240" w:lineRule="auto"/>
      </w:pPr>
      <w:r>
        <w:separator/>
      </w:r>
    </w:p>
  </w:footnote>
  <w:footnote w:type="continuationSeparator" w:id="0">
    <w:p w14:paraId="36644D6B" w14:textId="77777777" w:rsidR="00A924F9" w:rsidRDefault="00A924F9" w:rsidP="00E27274">
      <w:pPr>
        <w:spacing w:after="0" w:line="240" w:lineRule="auto"/>
      </w:pPr>
      <w:r>
        <w:continuationSeparator/>
      </w:r>
    </w:p>
  </w:footnote>
  <w:footnote w:type="continuationNotice" w:id="1">
    <w:p w14:paraId="710E1AD5" w14:textId="77777777" w:rsidR="00A924F9" w:rsidRDefault="00A9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7A05CA"/>
    <w:multiLevelType w:val="hybridMultilevel"/>
    <w:tmpl w:val="24F63E0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069" w:hanging="360"/>
      </w:pPr>
      <w:rPr>
        <w:rFonts w:ascii="Courier New" w:hAnsi="Courier New" w:cs="Courier New" w:hint="default"/>
      </w:rPr>
    </w:lvl>
    <w:lvl w:ilvl="2" w:tplc="040C0005">
      <w:start w:val="1"/>
      <w:numFmt w:val="bullet"/>
      <w:lvlText w:val=""/>
      <w:lvlJc w:val="left"/>
      <w:pPr>
        <w:ind w:left="1494"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9"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
  </w:num>
  <w:num w:numId="4">
    <w:abstractNumId w:val="17"/>
  </w:num>
  <w:num w:numId="5">
    <w:abstractNumId w:val="31"/>
  </w:num>
  <w:num w:numId="6">
    <w:abstractNumId w:val="3"/>
  </w:num>
  <w:num w:numId="7">
    <w:abstractNumId w:val="2"/>
  </w:num>
  <w:num w:numId="8">
    <w:abstractNumId w:val="25"/>
  </w:num>
  <w:num w:numId="9">
    <w:abstractNumId w:val="20"/>
  </w:num>
  <w:num w:numId="10">
    <w:abstractNumId w:val="22"/>
  </w:num>
  <w:num w:numId="11">
    <w:abstractNumId w:val="8"/>
  </w:num>
  <w:num w:numId="12">
    <w:abstractNumId w:val="11"/>
  </w:num>
  <w:num w:numId="13">
    <w:abstractNumId w:val="13"/>
  </w:num>
  <w:num w:numId="14">
    <w:abstractNumId w:val="15"/>
  </w:num>
  <w:num w:numId="15">
    <w:abstractNumId w:val="9"/>
  </w:num>
  <w:num w:numId="16">
    <w:abstractNumId w:val="12"/>
  </w:num>
  <w:num w:numId="17">
    <w:abstractNumId w:val="26"/>
  </w:num>
  <w:num w:numId="18">
    <w:abstractNumId w:val="7"/>
  </w:num>
  <w:num w:numId="19">
    <w:abstractNumId w:val="24"/>
  </w:num>
  <w:num w:numId="20">
    <w:abstractNumId w:val="21"/>
  </w:num>
  <w:num w:numId="21">
    <w:abstractNumId w:val="19"/>
  </w:num>
  <w:num w:numId="22">
    <w:abstractNumId w:val="14"/>
  </w:num>
  <w:num w:numId="23">
    <w:abstractNumId w:val="4"/>
  </w:num>
  <w:num w:numId="24">
    <w:abstractNumId w:val="23"/>
  </w:num>
  <w:num w:numId="25">
    <w:abstractNumId w:val="34"/>
  </w:num>
  <w:num w:numId="26">
    <w:abstractNumId w:val="16"/>
  </w:num>
  <w:num w:numId="27">
    <w:abstractNumId w:val="18"/>
  </w:num>
  <w:num w:numId="28">
    <w:abstractNumId w:val="0"/>
  </w:num>
  <w:num w:numId="29">
    <w:abstractNumId w:val="28"/>
  </w:num>
  <w:num w:numId="30">
    <w:abstractNumId w:val="30"/>
  </w:num>
  <w:num w:numId="31">
    <w:abstractNumId w:val="10"/>
  </w:num>
  <w:num w:numId="32">
    <w:abstractNumId w:val="5"/>
  </w:num>
  <w:num w:numId="33">
    <w:abstractNumId w:val="33"/>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0702B"/>
    <w:rsid w:val="0001156C"/>
    <w:rsid w:val="000135BC"/>
    <w:rsid w:val="00022741"/>
    <w:rsid w:val="00023415"/>
    <w:rsid w:val="00024D20"/>
    <w:rsid w:val="00025402"/>
    <w:rsid w:val="000523EB"/>
    <w:rsid w:val="000540A5"/>
    <w:rsid w:val="000617BC"/>
    <w:rsid w:val="00061B4E"/>
    <w:rsid w:val="00067113"/>
    <w:rsid w:val="000672A8"/>
    <w:rsid w:val="0007072D"/>
    <w:rsid w:val="00081F9A"/>
    <w:rsid w:val="000826FB"/>
    <w:rsid w:val="000A67B9"/>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305E8"/>
    <w:rsid w:val="00130F65"/>
    <w:rsid w:val="0014085B"/>
    <w:rsid w:val="00156684"/>
    <w:rsid w:val="00156BC9"/>
    <w:rsid w:val="001650B4"/>
    <w:rsid w:val="00181DEC"/>
    <w:rsid w:val="00187999"/>
    <w:rsid w:val="00187ABA"/>
    <w:rsid w:val="001921C3"/>
    <w:rsid w:val="00194B49"/>
    <w:rsid w:val="001A2B9B"/>
    <w:rsid w:val="001A2DEC"/>
    <w:rsid w:val="001A33F8"/>
    <w:rsid w:val="001B1638"/>
    <w:rsid w:val="001B3233"/>
    <w:rsid w:val="001C7386"/>
    <w:rsid w:val="001D1CA5"/>
    <w:rsid w:val="001F1E65"/>
    <w:rsid w:val="00200EA8"/>
    <w:rsid w:val="002118EC"/>
    <w:rsid w:val="00224400"/>
    <w:rsid w:val="002307E6"/>
    <w:rsid w:val="00230A2F"/>
    <w:rsid w:val="00234D3A"/>
    <w:rsid w:val="002355F9"/>
    <w:rsid w:val="0024452C"/>
    <w:rsid w:val="002670C7"/>
    <w:rsid w:val="0027021D"/>
    <w:rsid w:val="00273D60"/>
    <w:rsid w:val="0027703E"/>
    <w:rsid w:val="00295234"/>
    <w:rsid w:val="002A2ECC"/>
    <w:rsid w:val="002A7B6F"/>
    <w:rsid w:val="002C185A"/>
    <w:rsid w:val="002C2864"/>
    <w:rsid w:val="002C66F5"/>
    <w:rsid w:val="002D0FA5"/>
    <w:rsid w:val="002D174B"/>
    <w:rsid w:val="002D1A86"/>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74D8"/>
    <w:rsid w:val="00347E9F"/>
    <w:rsid w:val="0035019F"/>
    <w:rsid w:val="003562D4"/>
    <w:rsid w:val="003605F8"/>
    <w:rsid w:val="00363A20"/>
    <w:rsid w:val="003738F4"/>
    <w:rsid w:val="0037476C"/>
    <w:rsid w:val="0037634F"/>
    <w:rsid w:val="00394E0E"/>
    <w:rsid w:val="003A0E0F"/>
    <w:rsid w:val="003A4757"/>
    <w:rsid w:val="003A4CF2"/>
    <w:rsid w:val="003B0083"/>
    <w:rsid w:val="003B1227"/>
    <w:rsid w:val="003B23C9"/>
    <w:rsid w:val="003B427A"/>
    <w:rsid w:val="003C28C8"/>
    <w:rsid w:val="003C45F6"/>
    <w:rsid w:val="003C6F7D"/>
    <w:rsid w:val="003D427B"/>
    <w:rsid w:val="003E04AF"/>
    <w:rsid w:val="003F1727"/>
    <w:rsid w:val="003F201A"/>
    <w:rsid w:val="003F3694"/>
    <w:rsid w:val="00405868"/>
    <w:rsid w:val="00414265"/>
    <w:rsid w:val="004143FD"/>
    <w:rsid w:val="00422EEE"/>
    <w:rsid w:val="004268E6"/>
    <w:rsid w:val="00433A10"/>
    <w:rsid w:val="00435E08"/>
    <w:rsid w:val="004449C1"/>
    <w:rsid w:val="004471A4"/>
    <w:rsid w:val="004546AF"/>
    <w:rsid w:val="00454E48"/>
    <w:rsid w:val="00460474"/>
    <w:rsid w:val="00460976"/>
    <w:rsid w:val="0046171D"/>
    <w:rsid w:val="0046364B"/>
    <w:rsid w:val="00464B8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27C3"/>
    <w:rsid w:val="005651B5"/>
    <w:rsid w:val="00570E90"/>
    <w:rsid w:val="005847B0"/>
    <w:rsid w:val="0058505E"/>
    <w:rsid w:val="00585FD9"/>
    <w:rsid w:val="005A0757"/>
    <w:rsid w:val="005A0DEC"/>
    <w:rsid w:val="005A4B20"/>
    <w:rsid w:val="005B1502"/>
    <w:rsid w:val="005B6050"/>
    <w:rsid w:val="005B75CF"/>
    <w:rsid w:val="005C27D3"/>
    <w:rsid w:val="005D0436"/>
    <w:rsid w:val="005D0A2B"/>
    <w:rsid w:val="005D3424"/>
    <w:rsid w:val="005D3F95"/>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3307"/>
    <w:rsid w:val="006E598B"/>
    <w:rsid w:val="006F34C9"/>
    <w:rsid w:val="006F5128"/>
    <w:rsid w:val="006F548E"/>
    <w:rsid w:val="006F7994"/>
    <w:rsid w:val="00711A70"/>
    <w:rsid w:val="00724830"/>
    <w:rsid w:val="00731877"/>
    <w:rsid w:val="00731B13"/>
    <w:rsid w:val="00731D6B"/>
    <w:rsid w:val="00734416"/>
    <w:rsid w:val="00735187"/>
    <w:rsid w:val="00741FDC"/>
    <w:rsid w:val="00742F62"/>
    <w:rsid w:val="00743313"/>
    <w:rsid w:val="00744B1D"/>
    <w:rsid w:val="00750A68"/>
    <w:rsid w:val="00764B27"/>
    <w:rsid w:val="00781D0D"/>
    <w:rsid w:val="0078478F"/>
    <w:rsid w:val="00785733"/>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E2995"/>
    <w:rsid w:val="008F12F9"/>
    <w:rsid w:val="008F3020"/>
    <w:rsid w:val="008F6C3D"/>
    <w:rsid w:val="008F7C93"/>
    <w:rsid w:val="00904884"/>
    <w:rsid w:val="0090562E"/>
    <w:rsid w:val="00914A3F"/>
    <w:rsid w:val="0092089C"/>
    <w:rsid w:val="00921494"/>
    <w:rsid w:val="00922079"/>
    <w:rsid w:val="00922DA0"/>
    <w:rsid w:val="00923DFF"/>
    <w:rsid w:val="009255EF"/>
    <w:rsid w:val="009270D3"/>
    <w:rsid w:val="009340C8"/>
    <w:rsid w:val="00934207"/>
    <w:rsid w:val="009350DE"/>
    <w:rsid w:val="0093575D"/>
    <w:rsid w:val="00937908"/>
    <w:rsid w:val="0094379A"/>
    <w:rsid w:val="00945C97"/>
    <w:rsid w:val="00950776"/>
    <w:rsid w:val="00953205"/>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1BD9"/>
    <w:rsid w:val="00A82D77"/>
    <w:rsid w:val="00A84980"/>
    <w:rsid w:val="00A84DF5"/>
    <w:rsid w:val="00A924F9"/>
    <w:rsid w:val="00A937FE"/>
    <w:rsid w:val="00AA2380"/>
    <w:rsid w:val="00AB0E99"/>
    <w:rsid w:val="00AB10EC"/>
    <w:rsid w:val="00AB1E9D"/>
    <w:rsid w:val="00AB409A"/>
    <w:rsid w:val="00AC14A1"/>
    <w:rsid w:val="00AC681E"/>
    <w:rsid w:val="00AD34DF"/>
    <w:rsid w:val="00AD7E6C"/>
    <w:rsid w:val="00AE0766"/>
    <w:rsid w:val="00AF1999"/>
    <w:rsid w:val="00AF437B"/>
    <w:rsid w:val="00AF6572"/>
    <w:rsid w:val="00B10CD8"/>
    <w:rsid w:val="00B13FC8"/>
    <w:rsid w:val="00B166FB"/>
    <w:rsid w:val="00B25A2E"/>
    <w:rsid w:val="00B302CB"/>
    <w:rsid w:val="00B30716"/>
    <w:rsid w:val="00B3199F"/>
    <w:rsid w:val="00B37256"/>
    <w:rsid w:val="00B52252"/>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4017"/>
    <w:rsid w:val="00C742BF"/>
    <w:rsid w:val="00C758FF"/>
    <w:rsid w:val="00C77232"/>
    <w:rsid w:val="00C77EB9"/>
    <w:rsid w:val="00C82B24"/>
    <w:rsid w:val="00C83026"/>
    <w:rsid w:val="00C8723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5D66"/>
    <w:rsid w:val="00D17A37"/>
    <w:rsid w:val="00D352A5"/>
    <w:rsid w:val="00D41179"/>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0FFA"/>
    <w:rsid w:val="00DC1B8D"/>
    <w:rsid w:val="00DC3775"/>
    <w:rsid w:val="00DC50FE"/>
    <w:rsid w:val="00DD637E"/>
    <w:rsid w:val="00DD7673"/>
    <w:rsid w:val="00DE0206"/>
    <w:rsid w:val="00DE0EF3"/>
    <w:rsid w:val="00DE12AC"/>
    <w:rsid w:val="00DE3851"/>
    <w:rsid w:val="00DE4178"/>
    <w:rsid w:val="00DF7665"/>
    <w:rsid w:val="00E00428"/>
    <w:rsid w:val="00E042B0"/>
    <w:rsid w:val="00E104AA"/>
    <w:rsid w:val="00E14F89"/>
    <w:rsid w:val="00E16CC2"/>
    <w:rsid w:val="00E20A45"/>
    <w:rsid w:val="00E25035"/>
    <w:rsid w:val="00E27274"/>
    <w:rsid w:val="00E31954"/>
    <w:rsid w:val="00E33830"/>
    <w:rsid w:val="00E43984"/>
    <w:rsid w:val="00E44F6D"/>
    <w:rsid w:val="00E45463"/>
    <w:rsid w:val="00E53CAC"/>
    <w:rsid w:val="00E6352D"/>
    <w:rsid w:val="00E675FA"/>
    <w:rsid w:val="00E70603"/>
    <w:rsid w:val="00E70892"/>
    <w:rsid w:val="00E72FD3"/>
    <w:rsid w:val="00E748E8"/>
    <w:rsid w:val="00E7507F"/>
    <w:rsid w:val="00E75959"/>
    <w:rsid w:val="00E84F67"/>
    <w:rsid w:val="00E93FE6"/>
    <w:rsid w:val="00E962DA"/>
    <w:rsid w:val="00EA123E"/>
    <w:rsid w:val="00EA289B"/>
    <w:rsid w:val="00EA4CE8"/>
    <w:rsid w:val="00EA70F2"/>
    <w:rsid w:val="00EB0B4F"/>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33BE3"/>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D6EDB"/>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883</Words>
  <Characters>4860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18</cp:revision>
  <cp:lastPrinted>2019-02-22T10:27:00Z</cp:lastPrinted>
  <dcterms:created xsi:type="dcterms:W3CDTF">2021-11-23T10:34:00Z</dcterms:created>
  <dcterms:modified xsi:type="dcterms:W3CDTF">2021-12-22T10:22:00Z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