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F09E" w14:textId="5D2CFC83" w:rsidR="00EB0B4F" w:rsidRDefault="00791649" w:rsidP="00EB0B4F">
      <w:pPr>
        <w:spacing w:after="0" w:line="240" w:lineRule="auto"/>
        <w:rPr>
          <w:rStyle w:val="Accentuation"/>
          <w:rFonts w:cs="Tahoma"/>
          <w:color w:val="00B0F0"/>
          <w:kern w:val="20"/>
          <w:sz w:val="20"/>
        </w:rPr>
      </w:pPr>
      <w:bookmarkStart w:id="0" w:name="_Hlk129855456"/>
      <w:r>
        <w:rPr>
          <w:rFonts w:cs="Tahoma"/>
          <w:b/>
          <w:noProof/>
          <w:kern w:val="20"/>
        </w:rPr>
        <mc:AlternateContent>
          <mc:Choice Requires="wps">
            <w:drawing>
              <wp:anchor distT="0" distB="0" distL="114300" distR="114300" simplePos="0" relativeHeight="251659264" behindDoc="0" locked="0" layoutInCell="1" allowOverlap="1" wp14:anchorId="73BF6376" wp14:editId="08A15106">
                <wp:simplePos x="0" y="0"/>
                <wp:positionH relativeFrom="margin">
                  <wp:align>right</wp:align>
                </wp:positionH>
                <wp:positionV relativeFrom="paragraph">
                  <wp:posOffset>-475615</wp:posOffset>
                </wp:positionV>
                <wp:extent cx="3124200" cy="504825"/>
                <wp:effectExtent l="0" t="0" r="0"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62" w14:textId="18EFA7CE" w:rsidR="00791649" w:rsidRPr="00791649" w:rsidRDefault="00791649" w:rsidP="00791649">
                            <w:pPr>
                              <w:tabs>
                                <w:tab w:val="left" w:pos="284"/>
                                <w:tab w:val="left" w:pos="1560"/>
                              </w:tabs>
                              <w:spacing w:before="60" w:after="60"/>
                              <w:ind w:firstLine="8"/>
                              <w:jc w:val="center"/>
                              <w:rPr>
                                <w:rFonts w:ascii="Lucida Sans Unicode" w:hAnsi="Lucida Sans Unicode" w:cs="Lucida Sans Unicode"/>
                                <w:b/>
                                <w:i/>
                                <w:color w:val="C0504D" w:themeColor="accent2"/>
                                <w:kern w:val="20"/>
                                <w:szCs w:val="22"/>
                              </w:rPr>
                            </w:pPr>
                            <w:r w:rsidRPr="00791649">
                              <w:rPr>
                                <w:rFonts w:ascii="Lucida Sans Unicode" w:hAnsi="Lucida Sans Unicode" w:cs="Lucida Sans Unicode"/>
                                <w:b/>
                                <w:i/>
                                <w:color w:val="C0504D" w:themeColor="accent2"/>
                                <w:kern w:val="20"/>
                                <w:szCs w:val="22"/>
                              </w:rPr>
                              <w:t xml:space="preserve"> (Modèle </w:t>
                            </w:r>
                            <w:r w:rsidRPr="00791649">
                              <w:rPr>
                                <w:rFonts w:ascii="Lucida Sans Unicode" w:hAnsi="Lucida Sans Unicode" w:cs="Lucida Sans Unicode"/>
                                <w:b/>
                                <w:i/>
                                <w:color w:val="C0504D" w:themeColor="accent2"/>
                                <w:kern w:val="20"/>
                                <w:szCs w:val="22"/>
                              </w:rPr>
                              <w:t>approuvé par le CST du CDG74 le 27</w:t>
                            </w:r>
                            <w:r w:rsidRPr="00791649">
                              <w:rPr>
                                <w:rFonts w:ascii="Lucida Sans Unicode" w:hAnsi="Lucida Sans Unicode" w:cs="Lucida Sans Unicode"/>
                                <w:b/>
                                <w:i/>
                                <w:color w:val="C0504D" w:themeColor="accent2"/>
                                <w:kern w:val="20"/>
                                <w:szCs w:val="22"/>
                              </w:rPr>
                              <w:t xml:space="preserve"> </w:t>
                            </w:r>
                            <w:r w:rsidRPr="00791649">
                              <w:rPr>
                                <w:rFonts w:ascii="Lucida Sans Unicode" w:hAnsi="Lucida Sans Unicode" w:cs="Lucida Sans Unicode"/>
                                <w:b/>
                                <w:i/>
                                <w:color w:val="C0504D" w:themeColor="accent2"/>
                                <w:kern w:val="20"/>
                                <w:szCs w:val="22"/>
                              </w:rPr>
                              <w:t>avril</w:t>
                            </w:r>
                            <w:r w:rsidRPr="00791649">
                              <w:rPr>
                                <w:rFonts w:ascii="Lucida Sans Unicode" w:hAnsi="Lucida Sans Unicode" w:cs="Lucida Sans Unicode"/>
                                <w:b/>
                                <w:i/>
                                <w:color w:val="C0504D" w:themeColor="accent2"/>
                                <w:kern w:val="20"/>
                                <w:szCs w:val="22"/>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6376" id="_x0000_t202" coordsize="21600,21600" o:spt="202" path="m,l,21600r21600,l21600,xe">
                <v:stroke joinstyle="miter"/>
                <v:path gradientshapeok="t" o:connecttype="rect"/>
              </v:shapetype>
              <v:shape id="Text Box 7" o:spid="_x0000_s1026" type="#_x0000_t202" style="position:absolute;left:0;text-align:left;margin-left:194.8pt;margin-top:-37.45pt;width:246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besw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" filled="f" stroked="f">
                <v:textbox>
                  <w:txbxContent>
                    <w:p w14:paraId="64945662" w14:textId="18EFA7CE" w:rsidR="00791649" w:rsidRPr="00791649" w:rsidRDefault="00791649" w:rsidP="00791649">
                      <w:pPr>
                        <w:tabs>
                          <w:tab w:val="left" w:pos="284"/>
                          <w:tab w:val="left" w:pos="1560"/>
                        </w:tabs>
                        <w:spacing w:before="60" w:after="60"/>
                        <w:ind w:firstLine="8"/>
                        <w:jc w:val="center"/>
                        <w:rPr>
                          <w:rFonts w:ascii="Lucida Sans Unicode" w:hAnsi="Lucida Sans Unicode" w:cs="Lucida Sans Unicode"/>
                          <w:b/>
                          <w:i/>
                          <w:color w:val="C0504D" w:themeColor="accent2"/>
                          <w:kern w:val="20"/>
                          <w:szCs w:val="22"/>
                        </w:rPr>
                      </w:pPr>
                      <w:r w:rsidRPr="00791649">
                        <w:rPr>
                          <w:rFonts w:ascii="Lucida Sans Unicode" w:hAnsi="Lucida Sans Unicode" w:cs="Lucida Sans Unicode"/>
                          <w:b/>
                          <w:i/>
                          <w:color w:val="C0504D" w:themeColor="accent2"/>
                          <w:kern w:val="20"/>
                          <w:szCs w:val="22"/>
                        </w:rPr>
                        <w:t xml:space="preserve"> (Modèle </w:t>
                      </w:r>
                      <w:r w:rsidRPr="00791649">
                        <w:rPr>
                          <w:rFonts w:ascii="Lucida Sans Unicode" w:hAnsi="Lucida Sans Unicode" w:cs="Lucida Sans Unicode"/>
                          <w:b/>
                          <w:i/>
                          <w:color w:val="C0504D" w:themeColor="accent2"/>
                          <w:kern w:val="20"/>
                          <w:szCs w:val="22"/>
                        </w:rPr>
                        <w:t>approuvé par le CST du CDG74 le 27</w:t>
                      </w:r>
                      <w:r w:rsidRPr="00791649">
                        <w:rPr>
                          <w:rFonts w:ascii="Lucida Sans Unicode" w:hAnsi="Lucida Sans Unicode" w:cs="Lucida Sans Unicode"/>
                          <w:b/>
                          <w:i/>
                          <w:color w:val="C0504D" w:themeColor="accent2"/>
                          <w:kern w:val="20"/>
                          <w:szCs w:val="22"/>
                        </w:rPr>
                        <w:t xml:space="preserve"> </w:t>
                      </w:r>
                      <w:r w:rsidRPr="00791649">
                        <w:rPr>
                          <w:rFonts w:ascii="Lucida Sans Unicode" w:hAnsi="Lucida Sans Unicode" w:cs="Lucida Sans Unicode"/>
                          <w:b/>
                          <w:i/>
                          <w:color w:val="C0504D" w:themeColor="accent2"/>
                          <w:kern w:val="20"/>
                          <w:szCs w:val="22"/>
                        </w:rPr>
                        <w:t>avril</w:t>
                      </w:r>
                      <w:r w:rsidRPr="00791649">
                        <w:rPr>
                          <w:rFonts w:ascii="Lucida Sans Unicode" w:hAnsi="Lucida Sans Unicode" w:cs="Lucida Sans Unicode"/>
                          <w:b/>
                          <w:i/>
                          <w:color w:val="C0504D" w:themeColor="accent2"/>
                          <w:kern w:val="20"/>
                          <w:szCs w:val="22"/>
                        </w:rPr>
                        <w:t xml:space="preserve"> 2023)</w:t>
                      </w:r>
                    </w:p>
                  </w:txbxContent>
                </v:textbox>
                <w10:wrap anchorx="margin"/>
              </v:shape>
            </w:pict>
          </mc:Fallback>
        </mc:AlternateContent>
      </w:r>
    </w:p>
    <w:p w14:paraId="2A9DC156" w14:textId="4D29F1C5" w:rsidR="00791649" w:rsidRPr="00AC681E" w:rsidRDefault="00791649" w:rsidP="00791649">
      <w:pPr>
        <w:pBdr>
          <w:top w:val="single" w:sz="4" w:space="1" w:color="auto"/>
          <w:left w:val="single" w:sz="4" w:space="5" w:color="auto"/>
          <w:bottom w:val="single" w:sz="4" w:space="1" w:color="auto"/>
          <w:right w:val="single" w:sz="4" w:space="4" w:color="auto"/>
        </w:pBdr>
        <w:tabs>
          <w:tab w:val="left" w:pos="4820"/>
        </w:tabs>
        <w:spacing w:after="0"/>
        <w:ind w:left="4536"/>
        <w:jc w:val="left"/>
        <w:rPr>
          <w:rFonts w:cs="Tahoma"/>
          <w:b/>
          <w:kern w:val="20"/>
        </w:rPr>
      </w:pPr>
      <w:r>
        <w:rPr>
          <w:rFonts w:cs="Tahoma"/>
          <w:noProof/>
        </w:rPr>
        <w:drawing>
          <wp:anchor distT="0" distB="0" distL="114300" distR="114300" simplePos="0" relativeHeight="251664384" behindDoc="0" locked="0" layoutInCell="1" allowOverlap="1" wp14:anchorId="7BE1A080" wp14:editId="701E08B4">
            <wp:simplePos x="0" y="0"/>
            <wp:positionH relativeFrom="column">
              <wp:posOffset>-95250</wp:posOffset>
            </wp:positionH>
            <wp:positionV relativeFrom="paragraph">
              <wp:posOffset>-419735</wp:posOffset>
            </wp:positionV>
            <wp:extent cx="1725333" cy="14839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Pr="00AC681E">
        <w:rPr>
          <w:rFonts w:cs="Tahoma"/>
          <w:b/>
          <w:kern w:val="20"/>
        </w:rPr>
        <w:t>DELIBERATION N° ………………………………………</w:t>
      </w:r>
    </w:p>
    <w:p w14:paraId="010ECCD3" w14:textId="77777777" w:rsidR="00791649" w:rsidRPr="00AC681E" w:rsidRDefault="00791649" w:rsidP="00791649">
      <w:pPr>
        <w:pBdr>
          <w:top w:val="single" w:sz="4" w:space="1" w:color="auto"/>
          <w:left w:val="single" w:sz="4" w:space="5" w:color="auto"/>
          <w:bottom w:val="single" w:sz="4" w:space="1" w:color="auto"/>
          <w:right w:val="single" w:sz="4" w:space="4" w:color="auto"/>
        </w:pBdr>
        <w:tabs>
          <w:tab w:val="left" w:pos="4820"/>
        </w:tabs>
        <w:spacing w:after="0"/>
        <w:ind w:left="4536"/>
        <w:jc w:val="left"/>
        <w:rPr>
          <w:rFonts w:cs="Tahoma"/>
          <w:b/>
          <w:kern w:val="20"/>
        </w:rPr>
      </w:pPr>
    </w:p>
    <w:p w14:paraId="2FD46031" w14:textId="4937FD02" w:rsidR="00791649" w:rsidRPr="00747BB3" w:rsidRDefault="00EE068D" w:rsidP="00791649">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b/>
          <w:kern w:val="20"/>
          <w:sz w:val="24"/>
          <w:szCs w:val="24"/>
          <w:u w:val="single"/>
        </w:rPr>
      </w:pPr>
      <w:r>
        <w:rPr>
          <w:rFonts w:cs="Tahoma"/>
          <w:b/>
          <w:kern w:val="20"/>
          <w:sz w:val="24"/>
          <w:szCs w:val="24"/>
          <w:u w:val="single"/>
        </w:rPr>
        <w:t>Instaurant d</w:t>
      </w:r>
      <w:r w:rsidR="00D65E8A">
        <w:rPr>
          <w:rFonts w:cs="Tahoma"/>
          <w:b/>
          <w:kern w:val="20"/>
          <w:sz w:val="24"/>
          <w:szCs w:val="24"/>
          <w:u w:val="single"/>
        </w:rPr>
        <w:t xml:space="preserve">es autorisations d’absences pour motifs personnels ou familiaux </w:t>
      </w:r>
      <w:r>
        <w:rPr>
          <w:rFonts w:cs="Tahoma"/>
          <w:b/>
          <w:kern w:val="20"/>
          <w:sz w:val="24"/>
          <w:szCs w:val="24"/>
          <w:u w:val="single"/>
        </w:rPr>
        <w:t>au profit des</w:t>
      </w:r>
      <w:r w:rsidR="00D65E8A">
        <w:rPr>
          <w:rFonts w:cs="Tahoma"/>
          <w:b/>
          <w:kern w:val="20"/>
          <w:sz w:val="24"/>
          <w:szCs w:val="24"/>
          <w:u w:val="single"/>
        </w:rPr>
        <w:t xml:space="preserve"> agents</w:t>
      </w:r>
    </w:p>
    <w:p w14:paraId="017B11B8" w14:textId="77777777" w:rsidR="00791649" w:rsidRPr="004C21FE" w:rsidRDefault="00791649" w:rsidP="00791649">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kern w:val="20"/>
          <w:u w:val="single"/>
        </w:rPr>
      </w:pPr>
    </w:p>
    <w:p w14:paraId="69637D9F" w14:textId="77777777" w:rsidR="00791649" w:rsidRPr="00DC3775" w:rsidRDefault="00791649" w:rsidP="00791649">
      <w:pPr>
        <w:spacing w:after="0"/>
        <w:ind w:left="4275"/>
        <w:rPr>
          <w:rFonts w:cs="Tahoma"/>
          <w:caps/>
          <w:color w:val="5F497A"/>
          <w:kern w:val="20"/>
          <w:szCs w:val="22"/>
        </w:rPr>
      </w:pPr>
    </w:p>
    <w:p w14:paraId="28D720AE" w14:textId="5F4B5BA8" w:rsidR="00791649" w:rsidRPr="00DC3775" w:rsidRDefault="00791649" w:rsidP="00791649">
      <w:pPr>
        <w:spacing w:after="0"/>
        <w:ind w:left="4275"/>
        <w:rPr>
          <w:rFonts w:cs="Tahoma"/>
          <w:caps/>
          <w:color w:val="5F497A"/>
          <w:kern w:val="20"/>
          <w:szCs w:val="22"/>
        </w:rPr>
      </w:pPr>
    </w:p>
    <w:p w14:paraId="600D8DB9" w14:textId="77777777" w:rsidR="00791649" w:rsidRPr="00DC3775" w:rsidRDefault="00791649" w:rsidP="00791649">
      <w:pPr>
        <w:spacing w:after="0"/>
        <w:ind w:left="4275"/>
        <w:rPr>
          <w:rFonts w:cs="Tahoma"/>
          <w:caps/>
          <w:color w:val="5F497A"/>
          <w:kern w:val="20"/>
          <w:szCs w:val="22"/>
        </w:rPr>
      </w:pPr>
      <w:r>
        <w:rPr>
          <w:rFonts w:cs="Tahoma"/>
          <w:noProof/>
          <w:kern w:val="20"/>
        </w:rPr>
        <mc:AlternateContent>
          <mc:Choice Requires="wps">
            <w:drawing>
              <wp:anchor distT="0" distB="0" distL="114300" distR="114300" simplePos="0" relativeHeight="251660288" behindDoc="0" locked="0" layoutInCell="1" allowOverlap="1" wp14:anchorId="094424B4" wp14:editId="1640B807">
                <wp:simplePos x="0" y="0"/>
                <wp:positionH relativeFrom="column">
                  <wp:posOffset>3288665</wp:posOffset>
                </wp:positionH>
                <wp:positionV relativeFrom="paragraph">
                  <wp:posOffset>138430</wp:posOffset>
                </wp:positionV>
                <wp:extent cx="2126615" cy="508000"/>
                <wp:effectExtent l="6350" t="3810" r="635" b="254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419178" w14:textId="77777777" w:rsidR="00791649" w:rsidRPr="00A937FE" w:rsidRDefault="00791649" w:rsidP="00791649">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424B4" id="AutoShape 2" o:spid="_x0000_s1027" style="position:absolute;left:0;text-align:left;margin-left:258.95pt;margin-top:10.9pt;width:167.4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RtAIAAHI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" fillcolor="#f2dbdb [661]" stroked="f">
                <v:textbox>
                  <w:txbxContent>
                    <w:p w14:paraId="14419178" w14:textId="77777777" w:rsidR="00791649" w:rsidRPr="00A937FE" w:rsidRDefault="00791649" w:rsidP="00791649">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302DC3C" w14:textId="77777777" w:rsidR="00791649" w:rsidRPr="00DC3775" w:rsidRDefault="00791649" w:rsidP="00791649">
      <w:pPr>
        <w:spacing w:after="0"/>
        <w:ind w:left="4275"/>
        <w:rPr>
          <w:rFonts w:cs="Tahoma"/>
          <w:caps/>
          <w:color w:val="5F497A"/>
          <w:kern w:val="20"/>
          <w:szCs w:val="22"/>
        </w:rPr>
      </w:pPr>
    </w:p>
    <w:p w14:paraId="1FC79E19" w14:textId="77777777" w:rsidR="00791649" w:rsidRDefault="00791649" w:rsidP="00791649">
      <w:pPr>
        <w:spacing w:after="0"/>
        <w:outlineLvl w:val="0"/>
        <w:rPr>
          <w:rFonts w:cs="Tahoma"/>
          <w:kern w:val="20"/>
        </w:rPr>
      </w:pPr>
    </w:p>
    <w:p w14:paraId="4808F6AE" w14:textId="77777777" w:rsidR="00791649" w:rsidRDefault="00791649" w:rsidP="00791649">
      <w:pPr>
        <w:spacing w:after="0"/>
        <w:outlineLvl w:val="0"/>
        <w:rPr>
          <w:rFonts w:cs="Tahoma"/>
          <w:kern w:val="20"/>
        </w:rPr>
      </w:pPr>
    </w:p>
    <w:p w14:paraId="02DEFFC3" w14:textId="77777777" w:rsidR="00791649" w:rsidRPr="007B4C69" w:rsidRDefault="00791649" w:rsidP="00791649">
      <w:pPr>
        <w:rPr>
          <w:rFonts w:cs="Tahoma"/>
        </w:rPr>
      </w:pPr>
    </w:p>
    <w:p w14:paraId="0B1DAD09" w14:textId="77777777" w:rsidR="00791649" w:rsidRPr="007B4C69" w:rsidRDefault="00791649" w:rsidP="00791649">
      <w:pPr>
        <w:rPr>
          <w:rFonts w:cs="Tahoma"/>
        </w:rPr>
      </w:pPr>
    </w:p>
    <w:p w14:paraId="7734ECE4" w14:textId="1A76A5F4" w:rsidR="00791649" w:rsidRPr="0085323A" w:rsidRDefault="00D65E8A" w:rsidP="00791649">
      <w:pPr>
        <w:rPr>
          <w:rFonts w:ascii="Tahoma" w:hAnsi="Tahoma" w:cs="Tahoma"/>
          <w:b/>
          <w:color w:val="548DD4" w:themeColor="text2" w:themeTint="99"/>
        </w:rPr>
      </w:pPr>
      <w:r w:rsidRPr="0085323A">
        <w:rPr>
          <w:rFonts w:ascii="Tahoma" w:hAnsi="Tahoma" w:cs="Tahoma"/>
          <w:b/>
          <w:color w:val="548DD4" w:themeColor="text2" w:themeTint="99"/>
        </w:rPr>
        <w:t>Ce modèle est à destination des collectivités rattachées au CST placé auprès du CDG74. Il a été validé par le CST dans sa séance du 27 avril 2023, ce qui permet aux collectivités de délibérer sans saisir à nouveau le CST, à condition qu’elles n’y apportent aucune modification. Par conséquent, la méthode à suivre est la suivante :</w:t>
      </w:r>
    </w:p>
    <w:p w14:paraId="54C93EA2" w14:textId="77777777" w:rsidR="00D65E8A" w:rsidRPr="0085323A" w:rsidRDefault="00D65E8A" w:rsidP="00791649">
      <w:pPr>
        <w:rPr>
          <w:rFonts w:ascii="Tahoma" w:hAnsi="Tahoma" w:cs="Tahoma"/>
          <w:b/>
          <w:color w:val="548DD4" w:themeColor="text2" w:themeTint="99"/>
        </w:rPr>
      </w:pPr>
    </w:p>
    <w:p w14:paraId="4470D160" w14:textId="180F1873" w:rsidR="00791649" w:rsidRPr="0085323A" w:rsidRDefault="00791649" w:rsidP="00D65E8A">
      <w:pPr>
        <w:ind w:left="708"/>
        <w:rPr>
          <w:rFonts w:ascii="Tahoma" w:hAnsi="Tahoma" w:cs="Tahoma"/>
          <w:b/>
          <w:color w:val="548DD4" w:themeColor="text2" w:themeTint="99"/>
        </w:rPr>
      </w:pPr>
      <w:r w:rsidRPr="0085323A">
        <w:rPr>
          <w:rFonts w:ascii="Tahoma" w:hAnsi="Tahoma" w:cs="Tahoma"/>
          <w:b/>
          <w:color w:val="548DD4" w:themeColor="text2" w:themeTint="99"/>
        </w:rPr>
        <w:t>1° Dans le cas où la Collectivité décide d’étendre par délibération les dispositions ci-dessus aux agents qu’elle emploie, celles-ci sont applicables directement, sans besoin de saisir le CST, Il suffit que soit visé, dans la délibération, l’avis du CST placé auprès du CDG 74, en date du 27 avril 2023.</w:t>
      </w:r>
    </w:p>
    <w:p w14:paraId="371D351B" w14:textId="048DD39F" w:rsidR="00791649" w:rsidRPr="0085323A" w:rsidRDefault="00791649" w:rsidP="00D65E8A">
      <w:pPr>
        <w:ind w:left="708"/>
        <w:rPr>
          <w:rFonts w:ascii="Tahoma" w:hAnsi="Tahoma" w:cs="Tahoma"/>
          <w:b/>
          <w:color w:val="548DD4" w:themeColor="text2" w:themeTint="99"/>
        </w:rPr>
      </w:pPr>
      <w:r w:rsidRPr="0085323A">
        <w:rPr>
          <w:rFonts w:ascii="Tahoma" w:hAnsi="Tahoma" w:cs="Tahoma"/>
          <w:b/>
          <w:color w:val="548DD4" w:themeColor="text2" w:themeTint="99"/>
        </w:rPr>
        <w:t>Une simple information devra être transmise dans ce cas par la Collectivité au CST placé auprès du CDG74</w:t>
      </w:r>
    </w:p>
    <w:p w14:paraId="768B0F7E" w14:textId="77777777" w:rsidR="00791649" w:rsidRPr="0085323A" w:rsidRDefault="00791649" w:rsidP="00D65E8A">
      <w:pPr>
        <w:ind w:left="708"/>
        <w:rPr>
          <w:rFonts w:ascii="Tahoma" w:hAnsi="Tahoma" w:cs="Tahoma"/>
          <w:b/>
          <w:color w:val="548DD4" w:themeColor="text2" w:themeTint="99"/>
        </w:rPr>
      </w:pPr>
    </w:p>
    <w:p w14:paraId="4FDE47F0" w14:textId="7B819AB5" w:rsidR="00791649" w:rsidRPr="0085323A" w:rsidRDefault="00791649" w:rsidP="00D65E8A">
      <w:pPr>
        <w:ind w:left="708"/>
        <w:rPr>
          <w:rFonts w:ascii="Tahoma" w:hAnsi="Tahoma" w:cs="Tahoma"/>
          <w:b/>
          <w:color w:val="548DD4" w:themeColor="text2" w:themeTint="99"/>
        </w:rPr>
      </w:pPr>
      <w:r w:rsidRPr="0085323A">
        <w:rPr>
          <w:rFonts w:ascii="Tahoma" w:hAnsi="Tahoma" w:cs="Tahoma"/>
          <w:b/>
          <w:color w:val="548DD4" w:themeColor="text2" w:themeTint="99"/>
        </w:rPr>
        <w:t xml:space="preserve">2° Au contraire, si la Collectivité n’entend pas suivre ces dispositions, </w:t>
      </w:r>
      <w:r w:rsidR="00D65E8A" w:rsidRPr="0085323A">
        <w:rPr>
          <w:rFonts w:ascii="Tahoma" w:hAnsi="Tahoma" w:cs="Tahoma"/>
          <w:b/>
          <w:color w:val="548DD4" w:themeColor="text2" w:themeTint="99"/>
        </w:rPr>
        <w:t xml:space="preserve">ou si elle entend les modifier au moins partiellement, </w:t>
      </w:r>
      <w:r w:rsidRPr="0085323A">
        <w:rPr>
          <w:rFonts w:ascii="Tahoma" w:hAnsi="Tahoma" w:cs="Tahoma"/>
          <w:b/>
          <w:color w:val="548DD4" w:themeColor="text2" w:themeTint="99"/>
        </w:rPr>
        <w:t xml:space="preserve">il conviendra qu’elle saisisse au préalable le CST pour avis. </w:t>
      </w:r>
    </w:p>
    <w:p w14:paraId="393E67DD" w14:textId="1629B6EA" w:rsidR="00791649" w:rsidRPr="0085323A" w:rsidRDefault="00791649" w:rsidP="00791649">
      <w:pPr>
        <w:rPr>
          <w:rFonts w:ascii="Tahoma" w:hAnsi="Tahoma" w:cs="Tahoma"/>
        </w:rPr>
      </w:pPr>
    </w:p>
    <w:p w14:paraId="595AFF41" w14:textId="37CAFA10" w:rsidR="00D65E8A" w:rsidRPr="0085323A" w:rsidRDefault="00D65E8A" w:rsidP="00791649">
      <w:pPr>
        <w:rPr>
          <w:rFonts w:ascii="Tahoma" w:hAnsi="Tahoma" w:cs="Tahoma"/>
          <w:b/>
          <w:color w:val="548DD4" w:themeColor="text2" w:themeTint="99"/>
        </w:rPr>
      </w:pPr>
      <w:r w:rsidRPr="0085323A">
        <w:rPr>
          <w:rFonts w:ascii="Tahoma" w:hAnsi="Tahoma" w:cs="Tahoma"/>
          <w:b/>
          <w:color w:val="548DD4" w:themeColor="text2" w:themeTint="99"/>
        </w:rPr>
        <w:t>Voici le modèle de délibération :</w:t>
      </w:r>
    </w:p>
    <w:p w14:paraId="00E7FACD" w14:textId="5E8D4CC8" w:rsidR="00D65E8A" w:rsidRPr="0085323A" w:rsidRDefault="00D65E8A" w:rsidP="00791649">
      <w:pPr>
        <w:rPr>
          <w:rFonts w:ascii="Tahoma" w:hAnsi="Tahoma" w:cs="Tahoma"/>
        </w:rPr>
      </w:pPr>
    </w:p>
    <w:p w14:paraId="0F90F4A3" w14:textId="77777777" w:rsidR="0085323A" w:rsidRPr="0085323A" w:rsidRDefault="0085323A" w:rsidP="0085323A">
      <w:pPr>
        <w:rPr>
          <w:rFonts w:ascii="Tahoma" w:hAnsi="Tahoma" w:cs="Tahoma"/>
          <w:b/>
          <w:i/>
          <w:color w:val="FF0000"/>
        </w:rPr>
      </w:pPr>
      <w:r w:rsidRPr="0085323A">
        <w:rPr>
          <w:rFonts w:ascii="Tahoma" w:hAnsi="Tahoma" w:cs="Tahoma"/>
          <w:b/>
          <w:i/>
          <w:color w:val="FF0000"/>
        </w:rPr>
        <w:t>Les parties en rouge sont des exemples à adapter.</w:t>
      </w:r>
    </w:p>
    <w:p w14:paraId="6DC78B57" w14:textId="2DEC836B" w:rsidR="00D65E8A" w:rsidRPr="0085323A" w:rsidRDefault="00D65E8A" w:rsidP="00791649">
      <w:pPr>
        <w:rPr>
          <w:rFonts w:ascii="Tahoma" w:hAnsi="Tahoma" w:cs="Tahoma"/>
        </w:rPr>
      </w:pPr>
    </w:p>
    <w:p w14:paraId="657A7177" w14:textId="6EDF55D9" w:rsidR="00D65E8A" w:rsidRPr="0085323A" w:rsidRDefault="00D65E8A" w:rsidP="00791649">
      <w:pPr>
        <w:rPr>
          <w:rFonts w:ascii="Tahoma" w:hAnsi="Tahoma" w:cs="Tahoma"/>
        </w:rPr>
      </w:pPr>
    </w:p>
    <w:p w14:paraId="08ED5BB3" w14:textId="03F222AD" w:rsidR="00D65E8A" w:rsidRDefault="00D65E8A" w:rsidP="00791649">
      <w:pPr>
        <w:rPr>
          <w:rFonts w:ascii="Tahoma" w:hAnsi="Tahoma" w:cs="Tahoma"/>
        </w:rPr>
      </w:pPr>
    </w:p>
    <w:p w14:paraId="7B28FE5E" w14:textId="77777777" w:rsidR="00EE068D" w:rsidRPr="0085323A" w:rsidRDefault="00EE068D" w:rsidP="00791649">
      <w:pPr>
        <w:rPr>
          <w:rFonts w:ascii="Tahoma" w:hAnsi="Tahoma" w:cs="Tahoma"/>
        </w:rPr>
      </w:pPr>
    </w:p>
    <w:p w14:paraId="768C2FC1" w14:textId="4FFC3F11" w:rsidR="00D65E8A" w:rsidRPr="0085323A" w:rsidRDefault="00791649" w:rsidP="00791649">
      <w:pPr>
        <w:rPr>
          <w:rFonts w:ascii="Tahoma" w:hAnsi="Tahoma" w:cs="Tahoma"/>
          <w:sz w:val="20"/>
        </w:rPr>
      </w:pPr>
      <w:bookmarkStart w:id="1" w:name="_Hlk84331521"/>
      <w:r w:rsidRPr="0085323A">
        <w:rPr>
          <w:rFonts w:ascii="Tahoma" w:hAnsi="Tahoma" w:cs="Tahoma"/>
          <w:b/>
          <w:sz w:val="20"/>
        </w:rPr>
        <w:lastRenderedPageBreak/>
        <w:t xml:space="preserve">Vu </w:t>
      </w:r>
      <w:r w:rsidRPr="0085323A">
        <w:rPr>
          <w:rFonts w:ascii="Tahoma" w:hAnsi="Tahoma" w:cs="Tahoma"/>
          <w:sz w:val="20"/>
        </w:rPr>
        <w:t>le Code général de la fonction publique,</w:t>
      </w:r>
      <w:r w:rsidRPr="0085323A">
        <w:rPr>
          <w:rFonts w:ascii="Tahoma" w:hAnsi="Tahoma" w:cs="Tahoma"/>
          <w:sz w:val="20"/>
        </w:rPr>
        <w:t xml:space="preserve"> notamment ses articles L622-1 et suivants</w:t>
      </w:r>
      <w:r w:rsidR="00D65E8A" w:rsidRPr="0085323A">
        <w:rPr>
          <w:rFonts w:ascii="Tahoma" w:hAnsi="Tahoma" w:cs="Tahoma"/>
          <w:sz w:val="20"/>
        </w:rPr>
        <w:t>,</w:t>
      </w:r>
    </w:p>
    <w:p w14:paraId="7FAC2BE4" w14:textId="5CE5FAF1" w:rsidR="00791649" w:rsidRPr="0085323A" w:rsidRDefault="00791649" w:rsidP="00791649">
      <w:pPr>
        <w:rPr>
          <w:rFonts w:ascii="Tahoma" w:hAnsi="Tahoma" w:cs="Tahoma"/>
          <w:color w:val="000000" w:themeColor="text1"/>
          <w:sz w:val="20"/>
        </w:rPr>
      </w:pPr>
      <w:r w:rsidRPr="0085323A">
        <w:rPr>
          <w:rFonts w:ascii="Tahoma" w:hAnsi="Tahoma" w:cs="Tahoma"/>
          <w:b/>
          <w:color w:val="000000" w:themeColor="text1"/>
          <w:sz w:val="20"/>
        </w:rPr>
        <w:t xml:space="preserve">Vu </w:t>
      </w:r>
      <w:r w:rsidRPr="0085323A">
        <w:rPr>
          <w:rFonts w:ascii="Tahoma" w:hAnsi="Tahoma" w:cs="Tahoma"/>
          <w:color w:val="000000" w:themeColor="text1"/>
          <w:sz w:val="20"/>
        </w:rPr>
        <w:t xml:space="preserve">l’avis </w:t>
      </w:r>
      <w:r w:rsidR="00D65E8A" w:rsidRPr="0085323A">
        <w:rPr>
          <w:rFonts w:ascii="Tahoma" w:hAnsi="Tahoma" w:cs="Tahoma"/>
          <w:color w:val="000000" w:themeColor="text1"/>
          <w:sz w:val="20"/>
        </w:rPr>
        <w:t xml:space="preserve">favorable </w:t>
      </w:r>
      <w:r w:rsidRPr="0085323A">
        <w:rPr>
          <w:rFonts w:ascii="Tahoma" w:hAnsi="Tahoma" w:cs="Tahoma"/>
          <w:color w:val="000000" w:themeColor="text1"/>
          <w:sz w:val="20"/>
        </w:rPr>
        <w:t xml:space="preserve">du Comité </w:t>
      </w:r>
      <w:r w:rsidR="00D65E8A" w:rsidRPr="0085323A">
        <w:rPr>
          <w:rFonts w:ascii="Tahoma" w:hAnsi="Tahoma" w:cs="Tahoma"/>
          <w:color w:val="000000" w:themeColor="text1"/>
          <w:sz w:val="20"/>
        </w:rPr>
        <w:t>Social Territorial</w:t>
      </w:r>
      <w:r w:rsidRPr="0085323A">
        <w:rPr>
          <w:rFonts w:ascii="Tahoma" w:hAnsi="Tahoma" w:cs="Tahoma"/>
          <w:color w:val="000000" w:themeColor="text1"/>
          <w:sz w:val="20"/>
        </w:rPr>
        <w:t xml:space="preserve"> en date du </w:t>
      </w:r>
      <w:r w:rsidR="00D65E8A" w:rsidRPr="0085323A">
        <w:rPr>
          <w:rFonts w:ascii="Tahoma" w:hAnsi="Tahoma" w:cs="Tahoma"/>
          <w:color w:val="000000" w:themeColor="text1"/>
          <w:sz w:val="20"/>
        </w:rPr>
        <w:t>27 avril 2023</w:t>
      </w:r>
      <w:r w:rsidRPr="0085323A">
        <w:rPr>
          <w:rFonts w:ascii="Tahoma" w:hAnsi="Tahoma" w:cs="Tahoma"/>
          <w:color w:val="000000" w:themeColor="text1"/>
          <w:sz w:val="20"/>
        </w:rPr>
        <w:t>,</w:t>
      </w:r>
      <w:bookmarkEnd w:id="1"/>
    </w:p>
    <w:p w14:paraId="7DD8D048" w14:textId="01BB471B" w:rsidR="0085323A" w:rsidRPr="0085323A" w:rsidRDefault="0085323A" w:rsidP="00791649">
      <w:pPr>
        <w:rPr>
          <w:rFonts w:ascii="Tahoma" w:hAnsi="Tahoma" w:cs="Tahoma"/>
          <w:color w:val="000000" w:themeColor="text1"/>
          <w:sz w:val="20"/>
        </w:rPr>
      </w:pPr>
    </w:p>
    <w:p w14:paraId="4AD6211D" w14:textId="06DF9FEE" w:rsidR="00710DE4" w:rsidRDefault="0085323A" w:rsidP="00791649">
      <w:pPr>
        <w:rPr>
          <w:rFonts w:ascii="Tahoma" w:hAnsi="Tahoma" w:cs="Tahoma"/>
          <w:color w:val="000000" w:themeColor="text1"/>
          <w:sz w:val="20"/>
        </w:rPr>
      </w:pPr>
      <w:r w:rsidRPr="0085323A">
        <w:rPr>
          <w:rFonts w:ascii="Tahoma" w:hAnsi="Tahoma" w:cs="Tahoma"/>
          <w:color w:val="000000" w:themeColor="text1"/>
          <w:sz w:val="20"/>
        </w:rPr>
        <w:t xml:space="preserve">Le Maire </w:t>
      </w:r>
      <w:r w:rsidRPr="0085323A">
        <w:rPr>
          <w:rFonts w:ascii="Tahoma" w:hAnsi="Tahoma" w:cs="Tahoma"/>
          <w:i/>
          <w:color w:val="FF0000"/>
          <w:sz w:val="20"/>
        </w:rPr>
        <w:t>(le président)</w:t>
      </w:r>
      <w:r w:rsidRPr="0085323A">
        <w:rPr>
          <w:rFonts w:ascii="Tahoma" w:hAnsi="Tahoma" w:cs="Tahoma"/>
          <w:color w:val="000000" w:themeColor="text1"/>
          <w:sz w:val="20"/>
        </w:rPr>
        <w:t xml:space="preserve">, rappelle que les agents publics </w:t>
      </w:r>
      <w:r>
        <w:rPr>
          <w:rFonts w:ascii="Tahoma" w:hAnsi="Tahoma" w:cs="Tahoma"/>
          <w:color w:val="000000" w:themeColor="text1"/>
          <w:sz w:val="20"/>
        </w:rPr>
        <w:t>peuvent bénéficier</w:t>
      </w:r>
      <w:r w:rsidRPr="0085323A">
        <w:rPr>
          <w:rFonts w:ascii="Tahoma" w:hAnsi="Tahoma" w:cs="Tahoma"/>
          <w:color w:val="000000" w:themeColor="text1"/>
          <w:sz w:val="20"/>
        </w:rPr>
        <w:t xml:space="preserve"> d'autorisations spéciales d'absence liées à la parentalité et à l'occasion de certains évènements familiaux. </w:t>
      </w:r>
      <w:r w:rsidR="00EE068D">
        <w:rPr>
          <w:rFonts w:ascii="Tahoma" w:hAnsi="Tahoma" w:cs="Tahoma"/>
          <w:color w:val="000000" w:themeColor="text1"/>
          <w:sz w:val="20"/>
        </w:rPr>
        <w:t>Une délibération est nécessaire pour instaurer en encadrer ces autorisations d’absence.</w:t>
      </w:r>
    </w:p>
    <w:p w14:paraId="3AC35F81" w14:textId="1509E3AD" w:rsidR="00710DE4" w:rsidRDefault="00710DE4" w:rsidP="00710DE4">
      <w:pPr>
        <w:spacing w:after="360"/>
        <w:rPr>
          <w:rFonts w:ascii="Tahoma" w:hAnsi="Tahoma" w:cs="Tahoma"/>
          <w:color w:val="000000" w:themeColor="text1"/>
          <w:sz w:val="20"/>
        </w:rPr>
      </w:pPr>
      <w:r>
        <w:rPr>
          <w:rFonts w:ascii="Tahoma" w:hAnsi="Tahoma" w:cs="Tahoma"/>
          <w:color w:val="000000" w:themeColor="text1"/>
          <w:sz w:val="20"/>
        </w:rPr>
        <w:t>Il est donc proposé d’octroyer des autorisations spéciales d’absence aux agents de la collectivité dans les conditions définies ci-dessous :</w:t>
      </w:r>
    </w:p>
    <w:p w14:paraId="4CC8ED99" w14:textId="2846AF64" w:rsidR="0085323A" w:rsidRPr="00710DE4" w:rsidRDefault="00710DE4" w:rsidP="00710DE4">
      <w:pPr>
        <w:rPr>
          <w:rFonts w:ascii="Tahoma" w:hAnsi="Tahoma" w:cs="Tahoma"/>
          <w:b/>
          <w:color w:val="000000" w:themeColor="text1"/>
          <w:sz w:val="20"/>
        </w:rPr>
      </w:pPr>
      <w:r w:rsidRPr="00710DE4">
        <w:rPr>
          <w:rFonts w:ascii="Tahoma" w:hAnsi="Tahoma" w:cs="Tahoma"/>
          <w:b/>
          <w:color w:val="000000" w:themeColor="text1"/>
          <w:sz w:val="20"/>
        </w:rPr>
        <w:t>Article 1 – Agent éligibles</w:t>
      </w:r>
    </w:p>
    <w:p w14:paraId="45E398A6" w14:textId="03849C68" w:rsidR="00710DE4" w:rsidRDefault="00191333" w:rsidP="00710DE4">
      <w:pPr>
        <w:spacing w:after="360"/>
        <w:rPr>
          <w:rFonts w:ascii="Tahoma" w:hAnsi="Tahoma" w:cs="Tahoma"/>
          <w:color w:val="000000" w:themeColor="text1"/>
          <w:sz w:val="20"/>
        </w:rPr>
      </w:pPr>
      <w:r w:rsidRPr="0085323A">
        <w:rPr>
          <w:rFonts w:ascii="Tahoma" w:hAnsi="Tahoma" w:cs="Tahoma"/>
          <w:color w:val="000000" w:themeColor="text1"/>
          <w:sz w:val="20"/>
        </w:rPr>
        <w:t>L’octroi d’une autorisation spéciale d’absence peut être accordée à tout agent : titulaires, stagiaires, contractuels, auxiliaires, à temps complet, non complet ou partiel.</w:t>
      </w:r>
    </w:p>
    <w:p w14:paraId="61DCD523" w14:textId="20C14BD8" w:rsidR="00710DE4" w:rsidRPr="00710DE4" w:rsidRDefault="00710DE4" w:rsidP="00191333">
      <w:pPr>
        <w:rPr>
          <w:rFonts w:ascii="Tahoma" w:hAnsi="Tahoma" w:cs="Tahoma"/>
          <w:b/>
          <w:color w:val="000000" w:themeColor="text1"/>
          <w:sz w:val="20"/>
        </w:rPr>
      </w:pPr>
      <w:r w:rsidRPr="00710DE4">
        <w:rPr>
          <w:rFonts w:ascii="Tahoma" w:hAnsi="Tahoma" w:cs="Tahoma"/>
          <w:b/>
          <w:color w:val="000000" w:themeColor="text1"/>
          <w:sz w:val="20"/>
        </w:rPr>
        <w:t>Article 2 – Conséquences de l’ASA sur le temps de travail et la carrière de l’agent</w:t>
      </w:r>
    </w:p>
    <w:p w14:paraId="1908CF25" w14:textId="77777777" w:rsidR="00191333" w:rsidRPr="0085323A" w:rsidRDefault="00191333" w:rsidP="00191333">
      <w:pPr>
        <w:rPr>
          <w:rFonts w:ascii="Tahoma" w:hAnsi="Tahoma" w:cs="Tahoma"/>
          <w:color w:val="000000" w:themeColor="text1"/>
          <w:sz w:val="20"/>
        </w:rPr>
      </w:pPr>
      <w:bookmarkStart w:id="2" w:name="_Hlk134527531"/>
      <w:r w:rsidRPr="0085323A">
        <w:rPr>
          <w:rFonts w:ascii="Tahoma" w:hAnsi="Tahoma" w:cs="Tahoma"/>
          <w:color w:val="000000" w:themeColor="text1"/>
          <w:sz w:val="20"/>
        </w:rPr>
        <w:t>Le bénéficiaire d’une autorisation d’absence ne cesse pas d’être « en activité de service », ce qui emporte les conséquences juridiques suivantes :</w:t>
      </w:r>
    </w:p>
    <w:p w14:paraId="0FC87B0D" w14:textId="71F89C93" w:rsidR="00191333" w:rsidRPr="0085323A" w:rsidRDefault="00191333" w:rsidP="00EE068D">
      <w:pPr>
        <w:spacing w:line="240" w:lineRule="auto"/>
        <w:ind w:left="708"/>
        <w:jc w:val="left"/>
        <w:rPr>
          <w:rFonts w:ascii="Tahoma" w:hAnsi="Tahoma" w:cs="Tahoma"/>
          <w:color w:val="000000" w:themeColor="text1"/>
          <w:sz w:val="20"/>
        </w:rPr>
      </w:pPr>
      <w:r w:rsidRPr="0085323A">
        <w:rPr>
          <w:rFonts w:ascii="Tahoma" w:hAnsi="Tahoma" w:cs="Tahoma"/>
          <w:color w:val="000000" w:themeColor="text1"/>
          <w:sz w:val="20"/>
        </w:rPr>
        <w:t>▪ L’absence est considérée comme service accompli (conservation des droits attachés à la position de l’agent),</w:t>
      </w:r>
    </w:p>
    <w:p w14:paraId="0C7F5050" w14:textId="179481D4" w:rsidR="00CF6F3D" w:rsidRPr="0085323A" w:rsidRDefault="00191333" w:rsidP="00EE068D">
      <w:pPr>
        <w:spacing w:line="240" w:lineRule="auto"/>
        <w:ind w:left="708"/>
        <w:jc w:val="left"/>
        <w:rPr>
          <w:rFonts w:ascii="Tahoma" w:hAnsi="Tahoma" w:cs="Tahoma"/>
          <w:color w:val="000000" w:themeColor="text1"/>
          <w:sz w:val="20"/>
        </w:rPr>
      </w:pPr>
      <w:r w:rsidRPr="0085323A">
        <w:rPr>
          <w:rFonts w:ascii="Tahoma" w:hAnsi="Tahoma" w:cs="Tahoma"/>
          <w:color w:val="000000" w:themeColor="text1"/>
          <w:sz w:val="20"/>
        </w:rPr>
        <w:t>▪ La durée de l’autorisation d’absence n’est pas imputée sur celle des congés annuels dus à l’agent,</w:t>
      </w:r>
    </w:p>
    <w:p w14:paraId="34A2CF67" w14:textId="38C951C7" w:rsidR="00191333" w:rsidRPr="0085323A" w:rsidRDefault="00191333" w:rsidP="00EE068D">
      <w:pPr>
        <w:spacing w:line="240" w:lineRule="auto"/>
        <w:ind w:left="708"/>
        <w:jc w:val="left"/>
        <w:rPr>
          <w:rFonts w:ascii="Tahoma" w:hAnsi="Tahoma" w:cs="Tahoma"/>
          <w:color w:val="000000" w:themeColor="text1"/>
          <w:sz w:val="20"/>
        </w:rPr>
      </w:pPr>
      <w:r w:rsidRPr="0085323A">
        <w:rPr>
          <w:rFonts w:ascii="Tahoma" w:hAnsi="Tahoma" w:cs="Tahoma"/>
          <w:color w:val="000000" w:themeColor="text1"/>
          <w:sz w:val="20"/>
        </w:rPr>
        <w:t>▪ L’ASA place l’agent en situation régulière d’absence : il ne peut faire l’objet d’une retenue pour absence de service fait.</w:t>
      </w:r>
    </w:p>
    <w:p w14:paraId="4B505F55" w14:textId="0AA5BD22" w:rsidR="00EE068D" w:rsidRDefault="00EE068D" w:rsidP="00EE068D">
      <w:pPr>
        <w:rPr>
          <w:rFonts w:ascii="Tahoma" w:hAnsi="Tahoma" w:cs="Tahoma"/>
          <w:color w:val="000000" w:themeColor="text1"/>
          <w:sz w:val="20"/>
        </w:rPr>
      </w:pPr>
      <w:r>
        <w:rPr>
          <w:rFonts w:ascii="Tahoma" w:hAnsi="Tahoma" w:cs="Tahoma"/>
          <w:color w:val="000000" w:themeColor="text1"/>
          <w:sz w:val="20"/>
        </w:rPr>
        <w:t>Toutefois, c</w:t>
      </w:r>
      <w:r w:rsidRPr="0085323A">
        <w:rPr>
          <w:rFonts w:ascii="Tahoma" w:hAnsi="Tahoma" w:cs="Tahoma"/>
          <w:color w:val="000000" w:themeColor="text1"/>
          <w:sz w:val="20"/>
        </w:rPr>
        <w:t xml:space="preserve">es autorisations spéciales d'absence n'entrent pas en compte dans le calcul des congés annuels </w:t>
      </w:r>
      <w:r>
        <w:rPr>
          <w:rFonts w:ascii="Tahoma" w:hAnsi="Tahoma" w:cs="Tahoma"/>
          <w:color w:val="000000" w:themeColor="text1"/>
          <w:sz w:val="20"/>
        </w:rPr>
        <w:t xml:space="preserve">(elles ne génèrent pas de droits) </w:t>
      </w:r>
      <w:r w:rsidRPr="0085323A">
        <w:rPr>
          <w:rFonts w:ascii="Tahoma" w:hAnsi="Tahoma" w:cs="Tahoma"/>
          <w:color w:val="000000" w:themeColor="text1"/>
          <w:sz w:val="20"/>
        </w:rPr>
        <w:t xml:space="preserve">à l'exception de celles </w:t>
      </w:r>
      <w:r>
        <w:rPr>
          <w:rFonts w:ascii="Tahoma" w:hAnsi="Tahoma" w:cs="Tahoma"/>
          <w:color w:val="000000" w:themeColor="text1"/>
          <w:sz w:val="20"/>
        </w:rPr>
        <w:t xml:space="preserve">relatives au décès d’un enfant. </w:t>
      </w:r>
    </w:p>
    <w:p w14:paraId="1F30FDC5" w14:textId="0D0ECEA9" w:rsidR="00191333" w:rsidRDefault="00EE068D" w:rsidP="00710DE4">
      <w:pPr>
        <w:spacing w:after="360"/>
        <w:rPr>
          <w:rFonts w:ascii="Tahoma" w:hAnsi="Tahoma" w:cs="Tahoma"/>
          <w:color w:val="000000" w:themeColor="text1"/>
          <w:sz w:val="20"/>
        </w:rPr>
      </w:pPr>
      <w:r>
        <w:rPr>
          <w:rFonts w:ascii="Tahoma" w:hAnsi="Tahoma" w:cs="Tahoma"/>
          <w:color w:val="000000" w:themeColor="text1"/>
          <w:sz w:val="20"/>
        </w:rPr>
        <w:t>De même</w:t>
      </w:r>
      <w:r w:rsidR="00191333" w:rsidRPr="0085323A">
        <w:rPr>
          <w:rFonts w:ascii="Tahoma" w:hAnsi="Tahoma" w:cs="Tahoma"/>
          <w:color w:val="000000" w:themeColor="text1"/>
          <w:sz w:val="20"/>
        </w:rPr>
        <w:t>, le temps d’absence occasionné par ces ASA ne génère pas de jours de réduction du temps de travail (RTT) sauf dispositions contraires.</w:t>
      </w:r>
    </w:p>
    <w:bookmarkEnd w:id="2"/>
    <w:p w14:paraId="7371109C" w14:textId="0C86C219" w:rsidR="00710DE4" w:rsidRPr="00710DE4" w:rsidRDefault="00710DE4" w:rsidP="00710DE4">
      <w:pPr>
        <w:rPr>
          <w:rFonts w:ascii="Tahoma" w:hAnsi="Tahoma" w:cs="Tahoma"/>
          <w:b/>
          <w:color w:val="000000" w:themeColor="text1"/>
          <w:sz w:val="20"/>
        </w:rPr>
      </w:pPr>
      <w:r w:rsidRPr="00710DE4">
        <w:rPr>
          <w:rFonts w:ascii="Tahoma" w:hAnsi="Tahoma" w:cs="Tahoma"/>
          <w:b/>
          <w:color w:val="000000" w:themeColor="text1"/>
          <w:sz w:val="20"/>
        </w:rPr>
        <w:t>Article 3 – Modalités d’octroi des ASA</w:t>
      </w:r>
    </w:p>
    <w:p w14:paraId="3442322C" w14:textId="7DECB74E" w:rsidR="00710DE4" w:rsidRDefault="00710DE4" w:rsidP="00710DE4">
      <w:pPr>
        <w:rPr>
          <w:rFonts w:ascii="Tahoma" w:hAnsi="Tahoma" w:cs="Tahoma"/>
          <w:color w:val="000000" w:themeColor="text1"/>
          <w:sz w:val="20"/>
        </w:rPr>
      </w:pPr>
      <w:bookmarkStart w:id="3" w:name="_Hlk134527576"/>
      <w:r w:rsidRPr="0085323A">
        <w:rPr>
          <w:rFonts w:ascii="Tahoma" w:hAnsi="Tahoma" w:cs="Tahoma"/>
          <w:color w:val="000000" w:themeColor="text1"/>
          <w:sz w:val="20"/>
        </w:rPr>
        <w:t>L’octroi d’une autorisation spéciale d’absence est accordé sous réserve de la présentation de justificatifs et des nécessités de service</w:t>
      </w:r>
      <w:r w:rsidR="00EE068D">
        <w:rPr>
          <w:rFonts w:ascii="Tahoma" w:hAnsi="Tahoma" w:cs="Tahoma"/>
          <w:color w:val="000000" w:themeColor="text1"/>
          <w:sz w:val="20"/>
        </w:rPr>
        <w:t>, à l’exception des autorisations d’absences liées au décès d’un enfant, qui sont octroyées de droit à l’agent</w:t>
      </w:r>
      <w:r w:rsidR="00EE068D">
        <w:rPr>
          <w:rFonts w:ascii="Tahoma" w:hAnsi="Tahoma" w:cs="Tahoma"/>
          <w:color w:val="000000" w:themeColor="text1"/>
          <w:sz w:val="20"/>
        </w:rPr>
        <w:t>.</w:t>
      </w:r>
    </w:p>
    <w:p w14:paraId="6E5B6D01" w14:textId="77777777" w:rsidR="006C2B5D" w:rsidRPr="0085323A" w:rsidRDefault="006C2B5D" w:rsidP="006C2B5D">
      <w:pPr>
        <w:rPr>
          <w:rFonts w:ascii="Tahoma" w:hAnsi="Tahoma" w:cs="Tahoma"/>
          <w:color w:val="000000" w:themeColor="text1"/>
          <w:sz w:val="20"/>
        </w:rPr>
      </w:pPr>
      <w:r w:rsidRPr="0085323A">
        <w:rPr>
          <w:rFonts w:ascii="Tahoma" w:hAnsi="Tahoma" w:cs="Tahoma"/>
          <w:color w:val="000000" w:themeColor="text1"/>
          <w:sz w:val="20"/>
        </w:rPr>
        <w:t>Les autorisations d’absences qui se décomptent en jours, indépendamment du temps de travail prévu sur les jours en question, peuvent également être utilisées par demi-journées, et peuvent être prises de manière continue ou discontinue. </w:t>
      </w:r>
    </w:p>
    <w:p w14:paraId="3C464D4D" w14:textId="1F4E876D" w:rsidR="00191333" w:rsidRPr="0085323A" w:rsidRDefault="00191333" w:rsidP="00191333">
      <w:pPr>
        <w:rPr>
          <w:rFonts w:ascii="Tahoma" w:hAnsi="Tahoma" w:cs="Tahoma"/>
          <w:color w:val="000000" w:themeColor="text1"/>
          <w:sz w:val="20"/>
        </w:rPr>
      </w:pPr>
      <w:r w:rsidRPr="0085323A">
        <w:rPr>
          <w:rFonts w:ascii="Tahoma" w:hAnsi="Tahoma" w:cs="Tahoma"/>
          <w:color w:val="000000" w:themeColor="text1"/>
          <w:sz w:val="20"/>
        </w:rPr>
        <w:t>Le jour de l'événement est normalement inclus dans le temps d'absence, mais l’autorité territoriale peut également décider de l’octroyer sur une autre période, dans un délai d’un mois à compter de la date de l’évènement (sauf dispositions contraires).</w:t>
      </w:r>
    </w:p>
    <w:p w14:paraId="1D58ABAB" w14:textId="1B4720EC" w:rsidR="00710DE4" w:rsidRDefault="00191333" w:rsidP="00710DE4">
      <w:pPr>
        <w:spacing w:after="360"/>
        <w:rPr>
          <w:rFonts w:ascii="Tahoma" w:hAnsi="Tahoma" w:cs="Tahoma"/>
          <w:color w:val="000000" w:themeColor="text1"/>
          <w:sz w:val="20"/>
        </w:rPr>
      </w:pPr>
      <w:r w:rsidRPr="0085323A">
        <w:rPr>
          <w:rFonts w:ascii="Tahoma" w:hAnsi="Tahoma" w:cs="Tahoma"/>
          <w:color w:val="000000" w:themeColor="text1"/>
          <w:sz w:val="20"/>
        </w:rPr>
        <w:t>Est également accordé un délai de route pour les mariages et décès, de 48 heures maximum aller-retour en fonction du lieu de l’évènement, aux agents bénéficiant d’une autorisation d’absence.</w:t>
      </w:r>
    </w:p>
    <w:bookmarkEnd w:id="3"/>
    <w:p w14:paraId="14D9FFDE" w14:textId="77777777" w:rsidR="00710DE4" w:rsidRDefault="00710DE4" w:rsidP="00191333">
      <w:pPr>
        <w:rPr>
          <w:rFonts w:ascii="Tahoma" w:hAnsi="Tahoma" w:cs="Tahoma"/>
          <w:b/>
          <w:color w:val="000000" w:themeColor="text1"/>
          <w:sz w:val="20"/>
        </w:rPr>
      </w:pPr>
    </w:p>
    <w:p w14:paraId="533F019E" w14:textId="77777777" w:rsidR="00C34222" w:rsidRDefault="00C34222" w:rsidP="00191333">
      <w:pPr>
        <w:rPr>
          <w:rFonts w:ascii="Tahoma" w:hAnsi="Tahoma" w:cs="Tahoma"/>
          <w:b/>
          <w:color w:val="000000" w:themeColor="text1"/>
          <w:sz w:val="20"/>
        </w:rPr>
      </w:pPr>
    </w:p>
    <w:p w14:paraId="43388FF6" w14:textId="00DDACE8" w:rsidR="00710DE4" w:rsidRPr="00710DE4" w:rsidRDefault="00710DE4" w:rsidP="00191333">
      <w:pPr>
        <w:rPr>
          <w:rFonts w:ascii="Tahoma" w:hAnsi="Tahoma" w:cs="Tahoma"/>
          <w:b/>
          <w:color w:val="000000" w:themeColor="text1"/>
          <w:sz w:val="20"/>
        </w:rPr>
      </w:pPr>
      <w:r w:rsidRPr="00710DE4">
        <w:rPr>
          <w:rFonts w:ascii="Tahoma" w:hAnsi="Tahoma" w:cs="Tahoma"/>
          <w:b/>
          <w:color w:val="000000" w:themeColor="text1"/>
          <w:sz w:val="20"/>
        </w:rPr>
        <w:t>Article 4 – Durée des ASA</w:t>
      </w:r>
    </w:p>
    <w:p w14:paraId="1E93B4B5" w14:textId="420B191B" w:rsidR="00710DE4" w:rsidRPr="0085323A" w:rsidRDefault="00710DE4" w:rsidP="00191333">
      <w:pPr>
        <w:rPr>
          <w:rFonts w:ascii="Tahoma" w:hAnsi="Tahoma" w:cs="Tahoma"/>
          <w:color w:val="000000" w:themeColor="text1"/>
          <w:sz w:val="20"/>
        </w:rPr>
      </w:pPr>
      <w:r>
        <w:rPr>
          <w:rFonts w:ascii="Tahoma" w:hAnsi="Tahoma" w:cs="Tahoma"/>
          <w:color w:val="000000" w:themeColor="text1"/>
          <w:sz w:val="20"/>
        </w:rPr>
        <w:t>Les durées d’absence sont les suivantes, sans compter le délai supplémentaire mentionné à l’article 3 :</w:t>
      </w:r>
    </w:p>
    <w:bookmarkEnd w:id="0"/>
    <w:p w14:paraId="6D72D029" w14:textId="68A8AC8E" w:rsidR="00710DE4" w:rsidRDefault="00710DE4" w:rsidP="00710DE4">
      <w:pPr>
        <w:spacing w:after="0" w:line="240" w:lineRule="auto"/>
        <w:rPr>
          <w:rFonts w:ascii="Tahoma" w:hAnsi="Tahoma" w:cs="Tahoma"/>
          <w:color w:val="365F91" w:themeColor="accent1" w:themeShade="BF"/>
          <w:kern w:val="20"/>
          <w:sz w:val="20"/>
        </w:rPr>
      </w:pPr>
    </w:p>
    <w:p w14:paraId="29F0A093" w14:textId="77777777" w:rsidR="00710DE4" w:rsidRPr="00710DE4" w:rsidRDefault="00710DE4" w:rsidP="00710DE4">
      <w:pPr>
        <w:spacing w:after="0" w:line="240" w:lineRule="auto"/>
        <w:rPr>
          <w:rFonts w:ascii="Tahoma" w:hAnsi="Tahoma" w:cs="Tahoma"/>
          <w:color w:val="365F91" w:themeColor="accent1" w:themeShade="BF"/>
          <w:kern w:val="20"/>
          <w:sz w:val="20"/>
        </w:rPr>
      </w:pPr>
    </w:p>
    <w:tbl>
      <w:tblPr>
        <w:tblW w:w="0" w:type="auto"/>
        <w:tblInd w:w="708" w:type="dxa"/>
        <w:tblCellMar>
          <w:left w:w="0" w:type="dxa"/>
          <w:right w:w="0" w:type="dxa"/>
        </w:tblCellMar>
        <w:tblLook w:val="04A0" w:firstRow="1" w:lastRow="0" w:firstColumn="1" w:lastColumn="0" w:noHBand="0" w:noVBand="1"/>
      </w:tblPr>
      <w:tblGrid>
        <w:gridCol w:w="2113"/>
        <w:gridCol w:w="3544"/>
        <w:gridCol w:w="2829"/>
      </w:tblGrid>
      <w:tr w:rsidR="00374B1C" w:rsidRPr="0085323A" w14:paraId="78780797" w14:textId="77777777" w:rsidTr="00374B1C">
        <w:tc>
          <w:tcPr>
            <w:tcW w:w="5657" w:type="dxa"/>
            <w:gridSpan w:val="2"/>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vAlign w:val="center"/>
            <w:hideMark/>
          </w:tcPr>
          <w:p w14:paraId="3DFA19E7" w14:textId="10EBD9B1" w:rsidR="00374B1C" w:rsidRPr="0085323A" w:rsidRDefault="00374B1C" w:rsidP="0085323A">
            <w:pPr>
              <w:jc w:val="left"/>
              <w:rPr>
                <w:rFonts w:ascii="Tahoma" w:hAnsi="Tahoma" w:cs="Tahoma"/>
                <w:b/>
                <w:bCs/>
                <w:color w:val="000000" w:themeColor="text1"/>
                <w:sz w:val="20"/>
              </w:rPr>
            </w:pPr>
            <w:r w:rsidRPr="0085323A">
              <w:rPr>
                <w:rFonts w:ascii="Tahoma" w:hAnsi="Tahoma" w:cs="Tahoma"/>
                <w:b/>
                <w:bCs/>
                <w:color w:val="000000" w:themeColor="text1"/>
                <w:sz w:val="20"/>
              </w:rPr>
              <w:t>Nature de l’évènement</w:t>
            </w:r>
          </w:p>
        </w:tc>
        <w:tc>
          <w:tcPr>
            <w:tcW w:w="2829"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vAlign w:val="center"/>
            <w:hideMark/>
          </w:tcPr>
          <w:p w14:paraId="3EC075E7" w14:textId="77777777" w:rsidR="00374B1C" w:rsidRPr="00710DE4" w:rsidRDefault="00374B1C">
            <w:pPr>
              <w:rPr>
                <w:rFonts w:ascii="Tahoma" w:hAnsi="Tahoma" w:cs="Tahoma"/>
                <w:b/>
                <w:bCs/>
                <w:color w:val="000000" w:themeColor="text1"/>
                <w:sz w:val="20"/>
              </w:rPr>
            </w:pPr>
            <w:r w:rsidRPr="00710DE4">
              <w:rPr>
                <w:rFonts w:ascii="Tahoma" w:hAnsi="Tahoma" w:cs="Tahoma"/>
                <w:b/>
                <w:bCs/>
                <w:color w:val="000000" w:themeColor="text1"/>
                <w:sz w:val="20"/>
              </w:rPr>
              <w:t>Durée de l’ASA</w:t>
            </w:r>
          </w:p>
        </w:tc>
      </w:tr>
      <w:tr w:rsidR="00374B1C" w:rsidRPr="0085323A" w14:paraId="2BE1FD8C" w14:textId="77777777" w:rsidTr="00374B1C">
        <w:tc>
          <w:tcPr>
            <w:tcW w:w="8486" w:type="dxa"/>
            <w:gridSpan w:val="3"/>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2FC8228B" w14:textId="77777777" w:rsidR="00374B1C" w:rsidRPr="00710DE4" w:rsidRDefault="00374B1C" w:rsidP="0085323A">
            <w:pPr>
              <w:jc w:val="left"/>
              <w:rPr>
                <w:rFonts w:ascii="Tahoma" w:hAnsi="Tahoma" w:cs="Tahoma"/>
                <w:color w:val="000000" w:themeColor="text1"/>
                <w:sz w:val="20"/>
              </w:rPr>
            </w:pPr>
            <w:r w:rsidRPr="00710DE4">
              <w:rPr>
                <w:rFonts w:ascii="Tahoma" w:hAnsi="Tahoma" w:cs="Tahoma"/>
                <w:color w:val="000000" w:themeColor="text1"/>
                <w:sz w:val="20"/>
              </w:rPr>
              <w:t>Liées à des événements familiaux</w:t>
            </w:r>
          </w:p>
        </w:tc>
      </w:tr>
      <w:tr w:rsidR="00374B1C" w:rsidRPr="0085323A" w14:paraId="707E91C5" w14:textId="77777777" w:rsidTr="00374B1C">
        <w:tc>
          <w:tcPr>
            <w:tcW w:w="21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8AF8A"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Mariage ou PACS</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30625"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De l’agent (une seule autorisation par an)</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7815"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5 jours ouvrables</w:t>
            </w:r>
          </w:p>
        </w:tc>
      </w:tr>
      <w:tr w:rsidR="00374B1C" w:rsidRPr="0085323A" w14:paraId="366C2368" w14:textId="77777777" w:rsidTr="00710DE4">
        <w:trPr>
          <w:trHeight w:val="651"/>
        </w:trPr>
        <w:tc>
          <w:tcPr>
            <w:tcW w:w="0" w:type="auto"/>
            <w:vMerge/>
            <w:tcBorders>
              <w:top w:val="nil"/>
              <w:left w:val="single" w:sz="8" w:space="0" w:color="auto"/>
              <w:bottom w:val="single" w:sz="8" w:space="0" w:color="auto"/>
              <w:right w:val="single" w:sz="8" w:space="0" w:color="auto"/>
            </w:tcBorders>
            <w:vAlign w:val="center"/>
            <w:hideMark/>
          </w:tcPr>
          <w:p w14:paraId="42AB3218" w14:textId="77777777" w:rsidR="00374B1C" w:rsidRPr="0085323A" w:rsidRDefault="00374B1C" w:rsidP="0085323A">
            <w:pPr>
              <w:jc w:val="left"/>
              <w:rPr>
                <w:rFonts w:ascii="Tahoma" w:eastAsiaTheme="minorHAnsi" w:hAnsi="Tahoma" w:cs="Tahoma"/>
                <w:color w:val="000000" w:themeColor="text1"/>
                <w:sz w:val="20"/>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DA28D"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D’un enfant de l’agent</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1E146"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2 jours ouvrables</w:t>
            </w:r>
          </w:p>
        </w:tc>
      </w:tr>
      <w:tr w:rsidR="00374B1C" w:rsidRPr="0085323A" w14:paraId="6C0EDEC4" w14:textId="77777777" w:rsidTr="00374B1C">
        <w:tc>
          <w:tcPr>
            <w:tcW w:w="21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712B0"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Décès</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D5D5" w14:textId="563B84FE"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 xml:space="preserve">- du conjoint </w:t>
            </w:r>
            <w:r w:rsidR="00842F18">
              <w:rPr>
                <w:rFonts w:ascii="Tahoma" w:hAnsi="Tahoma" w:cs="Tahoma"/>
                <w:color w:val="000000" w:themeColor="text1"/>
                <w:sz w:val="20"/>
              </w:rPr>
              <w:t>ou partenaire de</w:t>
            </w:r>
            <w:r w:rsidRPr="0085323A">
              <w:rPr>
                <w:rFonts w:ascii="Tahoma" w:hAnsi="Tahoma" w:cs="Tahoma"/>
                <w:color w:val="000000" w:themeColor="text1"/>
                <w:sz w:val="20"/>
              </w:rPr>
              <w:t xml:space="preserve"> pacs</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C3BCC"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5 jours ouvrables</w:t>
            </w:r>
          </w:p>
        </w:tc>
      </w:tr>
      <w:tr w:rsidR="00374B1C" w:rsidRPr="0085323A" w14:paraId="3B2DF939" w14:textId="77777777" w:rsidTr="00374B1C">
        <w:tc>
          <w:tcPr>
            <w:tcW w:w="0" w:type="auto"/>
            <w:vMerge/>
            <w:tcBorders>
              <w:top w:val="nil"/>
              <w:left w:val="single" w:sz="8" w:space="0" w:color="auto"/>
              <w:bottom w:val="single" w:sz="8" w:space="0" w:color="auto"/>
              <w:right w:val="single" w:sz="8" w:space="0" w:color="auto"/>
            </w:tcBorders>
            <w:vAlign w:val="center"/>
            <w:hideMark/>
          </w:tcPr>
          <w:p w14:paraId="1185075B" w14:textId="77777777" w:rsidR="00374B1C" w:rsidRPr="0085323A" w:rsidRDefault="00374B1C" w:rsidP="0085323A">
            <w:pPr>
              <w:jc w:val="left"/>
              <w:rPr>
                <w:rFonts w:ascii="Tahoma" w:eastAsiaTheme="minorHAnsi" w:hAnsi="Tahoma" w:cs="Tahoma"/>
                <w:color w:val="000000" w:themeColor="text1"/>
                <w:sz w:val="20"/>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7F52B"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 d’un enfant de l’agent ou du conjoint dont l’agent a la charge effective et permanente</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53490"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7 jours ouvrés si l’enfant a moins de 25 ans</w:t>
            </w:r>
          </w:p>
          <w:p w14:paraId="32BE25CC"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5 jours ouvrables si l’enfant a plus de 25 ans</w:t>
            </w:r>
          </w:p>
          <w:p w14:paraId="43BCC067"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8 jours complémentaires dans les deux cas, pouvant être fractionnés, à prendre dans l’année suivant le décès</w:t>
            </w:r>
          </w:p>
        </w:tc>
      </w:tr>
      <w:tr w:rsidR="00374B1C" w:rsidRPr="0085323A" w14:paraId="6572427C" w14:textId="77777777" w:rsidTr="00374B1C">
        <w:tc>
          <w:tcPr>
            <w:tcW w:w="0" w:type="auto"/>
            <w:vMerge/>
            <w:tcBorders>
              <w:top w:val="nil"/>
              <w:left w:val="single" w:sz="8" w:space="0" w:color="auto"/>
              <w:bottom w:val="single" w:sz="8" w:space="0" w:color="auto"/>
              <w:right w:val="single" w:sz="8" w:space="0" w:color="auto"/>
            </w:tcBorders>
            <w:vAlign w:val="center"/>
            <w:hideMark/>
          </w:tcPr>
          <w:p w14:paraId="6DBED652" w14:textId="77777777" w:rsidR="00374B1C" w:rsidRPr="0085323A" w:rsidRDefault="00374B1C" w:rsidP="0085323A">
            <w:pPr>
              <w:jc w:val="left"/>
              <w:rPr>
                <w:rFonts w:ascii="Tahoma" w:eastAsiaTheme="minorHAnsi" w:hAnsi="Tahoma" w:cs="Tahoma"/>
                <w:color w:val="000000" w:themeColor="text1"/>
                <w:sz w:val="20"/>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10717"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 du père, de la mère de l’agent</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9EE92"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3 jours ouvrables</w:t>
            </w:r>
          </w:p>
        </w:tc>
      </w:tr>
      <w:tr w:rsidR="00374B1C" w:rsidRPr="0085323A" w14:paraId="251CD141" w14:textId="77777777" w:rsidTr="00374B1C">
        <w:tc>
          <w:tcPr>
            <w:tcW w:w="0" w:type="auto"/>
            <w:vMerge/>
            <w:tcBorders>
              <w:top w:val="nil"/>
              <w:left w:val="single" w:sz="8" w:space="0" w:color="auto"/>
              <w:bottom w:val="single" w:sz="8" w:space="0" w:color="auto"/>
              <w:right w:val="single" w:sz="8" w:space="0" w:color="auto"/>
            </w:tcBorders>
            <w:vAlign w:val="center"/>
            <w:hideMark/>
          </w:tcPr>
          <w:p w14:paraId="6B6D7B2B" w14:textId="77777777" w:rsidR="00374B1C" w:rsidRPr="0085323A" w:rsidRDefault="00374B1C" w:rsidP="0085323A">
            <w:pPr>
              <w:jc w:val="left"/>
              <w:rPr>
                <w:rFonts w:ascii="Tahoma" w:eastAsiaTheme="minorHAnsi" w:hAnsi="Tahoma" w:cs="Tahoma"/>
                <w:color w:val="000000" w:themeColor="text1"/>
                <w:sz w:val="20"/>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AFE94"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 des grands-parents de l’agent ou des parents du conjoint</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56B94" w14:textId="79141F64"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1 jour ouvrable</w:t>
            </w:r>
          </w:p>
        </w:tc>
      </w:tr>
      <w:tr w:rsidR="00374B1C" w:rsidRPr="0085323A" w14:paraId="55852C13" w14:textId="77777777" w:rsidTr="00374B1C">
        <w:tc>
          <w:tcPr>
            <w:tcW w:w="0" w:type="auto"/>
            <w:vMerge/>
            <w:tcBorders>
              <w:top w:val="nil"/>
              <w:left w:val="single" w:sz="8" w:space="0" w:color="auto"/>
              <w:bottom w:val="single" w:sz="8" w:space="0" w:color="auto"/>
              <w:right w:val="single" w:sz="8" w:space="0" w:color="auto"/>
            </w:tcBorders>
            <w:vAlign w:val="center"/>
            <w:hideMark/>
          </w:tcPr>
          <w:p w14:paraId="5D945ED6" w14:textId="77777777" w:rsidR="00374B1C" w:rsidRPr="0085323A" w:rsidRDefault="00374B1C" w:rsidP="0085323A">
            <w:pPr>
              <w:jc w:val="left"/>
              <w:rPr>
                <w:rFonts w:ascii="Tahoma" w:eastAsiaTheme="minorHAnsi" w:hAnsi="Tahoma" w:cs="Tahoma"/>
                <w:color w:val="000000" w:themeColor="text1"/>
                <w:sz w:val="20"/>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728BC"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 d’un frère, d’une sœur</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28AD7"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3 jours ouvrables</w:t>
            </w:r>
          </w:p>
        </w:tc>
      </w:tr>
      <w:tr w:rsidR="00374B1C" w:rsidRPr="0085323A" w14:paraId="7941BF85" w14:textId="77777777" w:rsidTr="00374B1C">
        <w:tc>
          <w:tcPr>
            <w:tcW w:w="2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8CA2A"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Annonce d’une pathologie chronique nécessitant un apprentissage thérapeutique ou d’un cancer</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0915D"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 d’un enfant</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56A09"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2 jours ouvrables (dans les conditions à définir par décret)</w:t>
            </w:r>
          </w:p>
        </w:tc>
      </w:tr>
      <w:tr w:rsidR="00374B1C" w:rsidRPr="0085323A" w14:paraId="680BD41F" w14:textId="77777777" w:rsidTr="00374B1C">
        <w:tc>
          <w:tcPr>
            <w:tcW w:w="2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D52DD"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Garde d’enfant (soigner un enfant malade ou en assurer momentanément la garde)</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0EABD"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 enfant de moins de 16 ans ou handicapé (autorisation annuelle par famille, indépendamment du nombre d’enfants)</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A1133"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1 fois les obligations hebdomadaires + 1 jour (6 jours pour un agent travaillant sur 5 jours)</w:t>
            </w:r>
          </w:p>
          <w:p w14:paraId="67F2C8BC"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Durée doublée si l’agent assume seul la charge de l’enfant ou si le conjoint ne bénéficie pas d’une telle autorisation</w:t>
            </w:r>
          </w:p>
        </w:tc>
      </w:tr>
      <w:tr w:rsidR="00374B1C" w:rsidRPr="0085323A" w14:paraId="2720D3EC" w14:textId="77777777" w:rsidTr="00374B1C">
        <w:tc>
          <w:tcPr>
            <w:tcW w:w="8486" w:type="dxa"/>
            <w:gridSpan w:val="3"/>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8D5A4D2" w14:textId="1055E2E1" w:rsidR="00374B1C" w:rsidRPr="00710DE4" w:rsidRDefault="00374B1C" w:rsidP="0085323A">
            <w:pPr>
              <w:jc w:val="left"/>
              <w:rPr>
                <w:rFonts w:ascii="Tahoma" w:hAnsi="Tahoma" w:cs="Tahoma"/>
                <w:color w:val="000000" w:themeColor="text1"/>
                <w:sz w:val="20"/>
              </w:rPr>
            </w:pPr>
            <w:r w:rsidRPr="00710DE4">
              <w:rPr>
                <w:rFonts w:ascii="Tahoma" w:hAnsi="Tahoma" w:cs="Tahoma"/>
                <w:color w:val="000000" w:themeColor="text1"/>
                <w:sz w:val="20"/>
              </w:rPr>
              <w:lastRenderedPageBreak/>
              <w:t>Liées à des évènements de la vie courante et des motifs civiques</w:t>
            </w:r>
          </w:p>
        </w:tc>
      </w:tr>
      <w:tr w:rsidR="00374B1C" w:rsidRPr="0085323A" w14:paraId="655E60F8" w14:textId="77777777" w:rsidTr="00374B1C">
        <w:tc>
          <w:tcPr>
            <w:tcW w:w="56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D116"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Concours et examens en rapport avec l’administration locale (dans la limite d’un concours ou examen par an)</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8165B" w14:textId="68BC6394"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 xml:space="preserve">Jours des épreuves </w:t>
            </w:r>
          </w:p>
        </w:tc>
      </w:tr>
      <w:tr w:rsidR="00374B1C" w:rsidRPr="0085323A" w14:paraId="3F76EC03" w14:textId="77777777" w:rsidTr="00374B1C">
        <w:tc>
          <w:tcPr>
            <w:tcW w:w="56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B07F8"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Examens médicaux obligatoires dans le cadre de la surveillance médicale de la grossesse et des suites de l’accouchement</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DBB4A"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Durée de l’examen (dans la limite de 3 examens pour le conjoint)</w:t>
            </w:r>
          </w:p>
        </w:tc>
      </w:tr>
      <w:tr w:rsidR="00374B1C" w:rsidRPr="0085323A" w14:paraId="20A68378" w14:textId="77777777" w:rsidTr="00374B1C">
        <w:tc>
          <w:tcPr>
            <w:tcW w:w="56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8F8AB"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Aménagement des horaires de travail pendant la grossesse</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A033"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 xml:space="preserve">1h par jour maximum </w:t>
            </w:r>
            <w:bookmarkStart w:id="4" w:name="_GoBack"/>
            <w:r w:rsidRPr="00710DE4">
              <w:rPr>
                <w:rFonts w:ascii="Tahoma" w:hAnsi="Tahoma" w:cs="Tahoma"/>
                <w:color w:val="000000" w:themeColor="text1"/>
                <w:sz w:val="20"/>
              </w:rPr>
              <w:t>à compter du 3</w:t>
            </w:r>
            <w:r w:rsidRPr="00710DE4">
              <w:rPr>
                <w:rFonts w:ascii="Tahoma" w:hAnsi="Tahoma" w:cs="Tahoma"/>
                <w:color w:val="000000" w:themeColor="text1"/>
                <w:sz w:val="20"/>
                <w:vertAlign w:val="superscript"/>
              </w:rPr>
              <w:t>e</w:t>
            </w:r>
            <w:r w:rsidRPr="00710DE4">
              <w:rPr>
                <w:rFonts w:ascii="Tahoma" w:hAnsi="Tahoma" w:cs="Tahoma"/>
                <w:color w:val="000000" w:themeColor="text1"/>
                <w:sz w:val="20"/>
              </w:rPr>
              <w:t xml:space="preserve"> mois de grossesse et sur prescription du médecin du travail</w:t>
            </w:r>
            <w:bookmarkEnd w:id="4"/>
          </w:p>
        </w:tc>
      </w:tr>
      <w:tr w:rsidR="00374B1C" w:rsidRPr="0085323A" w14:paraId="749D4AA4" w14:textId="77777777" w:rsidTr="00374B1C">
        <w:tc>
          <w:tcPr>
            <w:tcW w:w="56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E5C40"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Actes médicaux nécessaires à la PMA</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5CBEE"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Durée des actes médicaux nécessaires (dans la limite de 3 actes pour le conjoint)</w:t>
            </w:r>
          </w:p>
        </w:tc>
      </w:tr>
      <w:tr w:rsidR="00374B1C" w:rsidRPr="0085323A" w14:paraId="518167F9" w14:textId="77777777" w:rsidTr="00374B1C">
        <w:tc>
          <w:tcPr>
            <w:tcW w:w="56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565F8"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Participation à un jury d’assise ou témoin</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5C69D"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Durée de la session</w:t>
            </w:r>
          </w:p>
        </w:tc>
      </w:tr>
      <w:tr w:rsidR="00374B1C" w:rsidRPr="0085323A" w14:paraId="235C8DD6" w14:textId="77777777" w:rsidTr="00374B1C">
        <w:tc>
          <w:tcPr>
            <w:tcW w:w="56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EADDF"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Sapeurs-pompiers volontaires</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12BDD" w14:textId="5B4AD75E" w:rsidR="00374B1C" w:rsidRPr="00710DE4" w:rsidRDefault="0003626C">
            <w:pPr>
              <w:rPr>
                <w:rFonts w:ascii="Tahoma" w:hAnsi="Tahoma" w:cs="Tahoma"/>
                <w:color w:val="000000" w:themeColor="text1"/>
                <w:sz w:val="20"/>
              </w:rPr>
            </w:pPr>
            <w:r w:rsidRPr="00710DE4">
              <w:rPr>
                <w:rFonts w:ascii="Tahoma" w:hAnsi="Tahoma" w:cs="Tahoma"/>
                <w:color w:val="000000" w:themeColor="text1"/>
                <w:sz w:val="20"/>
              </w:rPr>
              <w:t>Durée des interventions (conditions fixées dans la convention avec le SDIS)</w:t>
            </w:r>
          </w:p>
        </w:tc>
      </w:tr>
      <w:tr w:rsidR="00374B1C" w:rsidRPr="0085323A" w14:paraId="53765615" w14:textId="77777777" w:rsidTr="00374B1C">
        <w:tc>
          <w:tcPr>
            <w:tcW w:w="56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A0856"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Vaccination antigrippale / Covid-19</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E8A8E" w14:textId="77777777" w:rsidR="00374B1C" w:rsidRPr="00710DE4" w:rsidRDefault="00374B1C">
            <w:pPr>
              <w:rPr>
                <w:rFonts w:ascii="Tahoma" w:hAnsi="Tahoma" w:cs="Tahoma"/>
                <w:color w:val="000000" w:themeColor="text1"/>
                <w:sz w:val="20"/>
              </w:rPr>
            </w:pPr>
            <w:r w:rsidRPr="00710DE4">
              <w:rPr>
                <w:rFonts w:ascii="Tahoma" w:hAnsi="Tahoma" w:cs="Tahoma"/>
                <w:color w:val="000000" w:themeColor="text1"/>
                <w:sz w:val="20"/>
              </w:rPr>
              <w:t>Durée de l’acte</w:t>
            </w:r>
          </w:p>
        </w:tc>
      </w:tr>
      <w:tr w:rsidR="00374B1C" w:rsidRPr="0085323A" w14:paraId="403AB75E" w14:textId="77777777" w:rsidTr="00374B1C">
        <w:tc>
          <w:tcPr>
            <w:tcW w:w="56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13E10" w14:textId="77777777" w:rsidR="00374B1C" w:rsidRPr="0085323A" w:rsidRDefault="00374B1C" w:rsidP="0085323A">
            <w:pPr>
              <w:jc w:val="left"/>
              <w:rPr>
                <w:rFonts w:ascii="Tahoma" w:hAnsi="Tahoma" w:cs="Tahoma"/>
                <w:color w:val="000000" w:themeColor="text1"/>
                <w:sz w:val="20"/>
              </w:rPr>
            </w:pPr>
            <w:r w:rsidRPr="0085323A">
              <w:rPr>
                <w:rFonts w:ascii="Tahoma" w:hAnsi="Tahoma" w:cs="Tahoma"/>
                <w:color w:val="000000" w:themeColor="text1"/>
                <w:sz w:val="20"/>
              </w:rPr>
              <w:t>Déménagement du domicile principal du fonctionnaire</w:t>
            </w:r>
          </w:p>
        </w:tc>
        <w:tc>
          <w:tcPr>
            <w:tcW w:w="2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6F53B" w14:textId="1000F4BB" w:rsidR="00374B1C" w:rsidRPr="00710DE4" w:rsidRDefault="00AC3C3F">
            <w:pPr>
              <w:rPr>
                <w:rFonts w:ascii="Tahoma" w:hAnsi="Tahoma" w:cs="Tahoma"/>
                <w:color w:val="000000" w:themeColor="text1"/>
                <w:sz w:val="20"/>
              </w:rPr>
            </w:pPr>
            <w:r w:rsidRPr="00710DE4">
              <w:rPr>
                <w:rFonts w:ascii="Tahoma" w:hAnsi="Tahoma" w:cs="Tahoma"/>
                <w:color w:val="000000" w:themeColor="text1"/>
                <w:sz w:val="20"/>
              </w:rPr>
              <w:t>1 jour ouvrable (dans la limite d’1 autorisation tous les 3 ans)</w:t>
            </w:r>
          </w:p>
        </w:tc>
      </w:tr>
    </w:tbl>
    <w:p w14:paraId="266FD009" w14:textId="77777777" w:rsidR="00853220" w:rsidRDefault="00853220" w:rsidP="00853220">
      <w:pPr>
        <w:pStyle w:val="Retraitdecorpsdetexte"/>
        <w:tabs>
          <w:tab w:val="right" w:pos="0"/>
        </w:tabs>
        <w:ind w:right="-64" w:firstLine="0"/>
        <w:rPr>
          <w:rFonts w:ascii="Arial" w:eastAsia="Times New Roman" w:hAnsi="Arial" w:cs="Times New Roman"/>
          <w:color w:val="1F3864"/>
          <w:kern w:val="0"/>
          <w:szCs w:val="20"/>
          <w:lang w:eastAsia="fr-FR" w:bidi="ar-SA"/>
        </w:rPr>
      </w:pPr>
    </w:p>
    <w:p w14:paraId="09090465" w14:textId="39FA496B" w:rsidR="00791649" w:rsidRDefault="00791649" w:rsidP="00E23C47">
      <w:pPr>
        <w:spacing w:after="0" w:line="240" w:lineRule="auto"/>
        <w:rPr>
          <w:rFonts w:ascii="Tahoma" w:hAnsi="Tahoma" w:cs="Tahoma"/>
          <w:color w:val="365F91" w:themeColor="accent1" w:themeShade="BF"/>
          <w:kern w:val="20"/>
          <w:sz w:val="20"/>
        </w:rPr>
      </w:pPr>
    </w:p>
    <w:p w14:paraId="53142233" w14:textId="77777777" w:rsidR="00D65E8A" w:rsidRPr="00710DE4" w:rsidRDefault="00D65E8A" w:rsidP="00D65E8A">
      <w:pPr>
        <w:spacing w:after="0"/>
        <w:rPr>
          <w:rFonts w:ascii="Tahoma" w:hAnsi="Tahoma" w:cs="Tahoma"/>
          <w:b/>
          <w:kern w:val="20"/>
          <w:sz w:val="20"/>
        </w:rPr>
      </w:pPr>
      <w:r w:rsidRPr="00710DE4">
        <w:rPr>
          <w:rFonts w:ascii="Tahoma" w:hAnsi="Tahoma" w:cs="Tahoma"/>
          <w:b/>
          <w:kern w:val="20"/>
          <w:sz w:val="20"/>
        </w:rPr>
        <w:t xml:space="preserve">L’assemblée délibérante, </w:t>
      </w:r>
    </w:p>
    <w:p w14:paraId="4670D080" w14:textId="77777777" w:rsidR="00D65E8A" w:rsidRPr="00710DE4" w:rsidRDefault="00D65E8A" w:rsidP="00D65E8A">
      <w:pPr>
        <w:spacing w:after="0"/>
        <w:rPr>
          <w:rFonts w:ascii="Tahoma" w:hAnsi="Tahoma" w:cs="Tahoma"/>
          <w:sz w:val="20"/>
        </w:rPr>
      </w:pPr>
    </w:p>
    <w:p w14:paraId="70FB8D66" w14:textId="33E5BB89" w:rsidR="00D65E8A" w:rsidRPr="00710DE4" w:rsidRDefault="00D65E8A" w:rsidP="00D65E8A">
      <w:pPr>
        <w:spacing w:after="0"/>
        <w:jc w:val="center"/>
        <w:rPr>
          <w:rFonts w:ascii="Tahoma" w:hAnsi="Tahoma" w:cs="Tahoma"/>
          <w:i/>
          <w:kern w:val="20"/>
          <w:sz w:val="20"/>
        </w:rPr>
      </w:pPr>
      <w:r w:rsidRPr="00710DE4">
        <w:rPr>
          <w:rFonts w:ascii="Tahoma" w:hAnsi="Tahoma" w:cs="Tahoma"/>
          <w:b/>
          <w:kern w:val="20"/>
          <w:sz w:val="20"/>
        </w:rPr>
        <w:t>Décide</w:t>
      </w:r>
    </w:p>
    <w:p w14:paraId="42980025" w14:textId="77777777" w:rsidR="00D65E8A" w:rsidRPr="00710DE4" w:rsidRDefault="00D65E8A" w:rsidP="00D65E8A">
      <w:pPr>
        <w:spacing w:after="0"/>
        <w:rPr>
          <w:rFonts w:ascii="Tahoma" w:hAnsi="Tahoma" w:cs="Tahoma"/>
          <w:b/>
          <w:bCs/>
          <w:kern w:val="20"/>
          <w:sz w:val="20"/>
        </w:rPr>
      </w:pPr>
    </w:p>
    <w:p w14:paraId="5C4A6FC5" w14:textId="0591C794" w:rsidR="00D65E8A" w:rsidRPr="00710DE4" w:rsidRDefault="00D65E8A" w:rsidP="00D65E8A">
      <w:pPr>
        <w:pStyle w:val="Paragraphedeliste"/>
        <w:numPr>
          <w:ilvl w:val="0"/>
          <w:numId w:val="14"/>
        </w:numPr>
        <w:spacing w:after="0" w:line="240" w:lineRule="auto"/>
        <w:ind w:left="720"/>
        <w:rPr>
          <w:rFonts w:ascii="Tahoma" w:hAnsi="Tahoma" w:cs="Tahoma"/>
          <w:sz w:val="20"/>
        </w:rPr>
      </w:pPr>
      <w:r w:rsidRPr="00710DE4">
        <w:rPr>
          <w:rFonts w:ascii="Tahoma" w:hAnsi="Tahoma" w:cs="Tahoma"/>
          <w:kern w:val="20"/>
          <w:sz w:val="20"/>
        </w:rPr>
        <w:t>D’</w:t>
      </w:r>
      <w:r w:rsidR="00710DE4">
        <w:rPr>
          <w:rFonts w:ascii="Tahoma" w:hAnsi="Tahoma" w:cs="Tahoma"/>
          <w:kern w:val="20"/>
          <w:sz w:val="20"/>
        </w:rPr>
        <w:t>instaurer des autorisations spéciales d’absence au profit des agents dans les conditions précisées dans la présente délibération ;</w:t>
      </w:r>
    </w:p>
    <w:p w14:paraId="6897F52F" w14:textId="77777777" w:rsidR="00D65E8A" w:rsidRPr="00710DE4" w:rsidRDefault="00D65E8A" w:rsidP="00D65E8A">
      <w:pPr>
        <w:pStyle w:val="Corpsdetexte"/>
        <w:rPr>
          <w:rFonts w:ascii="Tahoma" w:hAnsi="Tahoma" w:cs="Tahoma"/>
          <w:kern w:val="20"/>
          <w:sz w:val="20"/>
        </w:rPr>
      </w:pPr>
    </w:p>
    <w:p w14:paraId="28A60C21" w14:textId="36E06CC9" w:rsidR="00D65E8A" w:rsidRPr="00710DE4" w:rsidRDefault="00D65E8A" w:rsidP="00D65E8A">
      <w:pPr>
        <w:pStyle w:val="Corpsdetexte"/>
        <w:numPr>
          <w:ilvl w:val="0"/>
          <w:numId w:val="10"/>
        </w:numPr>
        <w:rPr>
          <w:rFonts w:ascii="Tahoma" w:hAnsi="Tahoma" w:cs="Tahoma"/>
          <w:kern w:val="20"/>
          <w:sz w:val="20"/>
        </w:rPr>
      </w:pPr>
      <w:r w:rsidRPr="00710DE4">
        <w:rPr>
          <w:rFonts w:ascii="Tahoma" w:hAnsi="Tahoma" w:cs="Tahoma"/>
          <w:kern w:val="20"/>
          <w:sz w:val="20"/>
        </w:rPr>
        <w:t>D’autoriser M</w:t>
      </w:r>
      <w:r w:rsidRPr="00EE068D">
        <w:rPr>
          <w:rFonts w:ascii="Tahoma" w:hAnsi="Tahoma" w:cs="Tahoma"/>
          <w:i/>
          <w:color w:val="FF0000"/>
          <w:sz w:val="20"/>
        </w:rPr>
        <w:t xml:space="preserve">(Mme) </w:t>
      </w:r>
      <w:r w:rsidRPr="00710DE4">
        <w:rPr>
          <w:rFonts w:ascii="Tahoma" w:hAnsi="Tahoma" w:cs="Tahoma"/>
          <w:kern w:val="20"/>
          <w:sz w:val="20"/>
        </w:rPr>
        <w:t xml:space="preserve">le Maire </w:t>
      </w:r>
      <w:r w:rsidRPr="00EE068D">
        <w:rPr>
          <w:rFonts w:ascii="Tahoma" w:hAnsi="Tahoma" w:cs="Tahoma"/>
          <w:i/>
          <w:color w:val="FF0000"/>
          <w:sz w:val="20"/>
        </w:rPr>
        <w:t xml:space="preserve">(ou le Président) </w:t>
      </w:r>
      <w:r w:rsidRPr="00710DE4">
        <w:rPr>
          <w:rFonts w:ascii="Tahoma" w:hAnsi="Tahoma" w:cs="Tahoma"/>
          <w:kern w:val="20"/>
          <w:sz w:val="20"/>
        </w:rPr>
        <w:t>à mandater les dépenses nécessaires à l’application de ce</w:t>
      </w:r>
      <w:r w:rsidR="00710DE4">
        <w:rPr>
          <w:rFonts w:ascii="Tahoma" w:hAnsi="Tahoma" w:cs="Tahoma"/>
          <w:kern w:val="20"/>
          <w:sz w:val="20"/>
        </w:rPr>
        <w:t>tte délibération</w:t>
      </w:r>
      <w:r w:rsidRPr="00710DE4">
        <w:rPr>
          <w:rFonts w:ascii="Tahoma" w:hAnsi="Tahoma" w:cs="Tahoma"/>
          <w:kern w:val="20"/>
          <w:sz w:val="20"/>
        </w:rPr>
        <w:t> ;</w:t>
      </w:r>
    </w:p>
    <w:p w14:paraId="052C11BA" w14:textId="77777777" w:rsidR="00D65E8A" w:rsidRPr="00710DE4" w:rsidRDefault="00D65E8A" w:rsidP="00D65E8A">
      <w:pPr>
        <w:pStyle w:val="Corpsdetexte"/>
        <w:rPr>
          <w:rFonts w:ascii="Tahoma" w:hAnsi="Tahoma" w:cs="Tahoma"/>
          <w:kern w:val="20"/>
          <w:sz w:val="20"/>
        </w:rPr>
      </w:pPr>
    </w:p>
    <w:p w14:paraId="06B0C7D8" w14:textId="3D4F6AC4" w:rsidR="00D65E8A" w:rsidRPr="00710DE4" w:rsidRDefault="00D65E8A" w:rsidP="00D65E8A">
      <w:pPr>
        <w:pStyle w:val="Corpsdetexte"/>
        <w:numPr>
          <w:ilvl w:val="0"/>
          <w:numId w:val="11"/>
        </w:numPr>
        <w:ind w:left="709"/>
        <w:rPr>
          <w:rFonts w:ascii="Tahoma" w:hAnsi="Tahoma" w:cs="Tahoma"/>
          <w:kern w:val="20"/>
          <w:sz w:val="20"/>
        </w:rPr>
      </w:pPr>
      <w:r w:rsidRPr="00710DE4">
        <w:rPr>
          <w:rFonts w:ascii="Tahoma" w:hAnsi="Tahoma" w:cs="Tahoma"/>
          <w:kern w:val="20"/>
          <w:sz w:val="20"/>
        </w:rPr>
        <w:t>De charger l’autorité territoriale de veiller à la bonne exécution de ce</w:t>
      </w:r>
      <w:r w:rsidR="00710DE4">
        <w:rPr>
          <w:rFonts w:ascii="Tahoma" w:hAnsi="Tahoma" w:cs="Tahoma"/>
          <w:kern w:val="20"/>
          <w:sz w:val="20"/>
        </w:rPr>
        <w:t>tte délibération.</w:t>
      </w:r>
    </w:p>
    <w:p w14:paraId="321DDDB4" w14:textId="77777777" w:rsidR="00791649" w:rsidRPr="00710DE4" w:rsidRDefault="00791649" w:rsidP="00791649">
      <w:pPr>
        <w:spacing w:after="0" w:line="240" w:lineRule="auto"/>
        <w:rPr>
          <w:rFonts w:ascii="Tahoma" w:hAnsi="Tahoma" w:cs="Tahoma"/>
          <w:color w:val="365F91" w:themeColor="accent1" w:themeShade="BF"/>
          <w:kern w:val="20"/>
          <w:sz w:val="20"/>
        </w:rPr>
      </w:pPr>
    </w:p>
    <w:p w14:paraId="1E84DA02" w14:textId="77777777" w:rsidR="00791649" w:rsidRPr="00710DE4" w:rsidRDefault="00791649" w:rsidP="00791649">
      <w:pPr>
        <w:spacing w:after="0"/>
        <w:rPr>
          <w:rFonts w:ascii="Tahoma" w:hAnsi="Tahoma" w:cs="Tahoma"/>
        </w:rPr>
      </w:pPr>
    </w:p>
    <w:p w14:paraId="69AC4D67" w14:textId="77777777" w:rsidR="00791649" w:rsidRPr="00710DE4" w:rsidRDefault="00791649" w:rsidP="00791649">
      <w:pPr>
        <w:pStyle w:val="articlecontenu"/>
        <w:spacing w:after="0"/>
        <w:ind w:left="5664" w:firstLine="0"/>
        <w:rPr>
          <w:rFonts w:ascii="Tahoma" w:hAnsi="Tahoma" w:cs="Tahoma"/>
          <w:kern w:val="20"/>
        </w:rPr>
      </w:pPr>
      <w:r w:rsidRPr="00710DE4">
        <w:rPr>
          <w:rFonts w:ascii="Tahoma" w:hAnsi="Tahoma" w:cs="Tahoma"/>
          <w:kern w:val="20"/>
        </w:rPr>
        <w:t xml:space="preserve">Fait à …… le </w:t>
      </w:r>
      <w:proofErr w:type="gramStart"/>
      <w:r w:rsidRPr="00710DE4">
        <w:rPr>
          <w:rFonts w:ascii="Tahoma" w:hAnsi="Tahoma" w:cs="Tahoma"/>
          <w:kern w:val="20"/>
        </w:rPr>
        <w:t>…….</w:t>
      </w:r>
      <w:proofErr w:type="gramEnd"/>
      <w:r w:rsidRPr="00710DE4">
        <w:rPr>
          <w:rFonts w:ascii="Tahoma" w:hAnsi="Tahoma" w:cs="Tahoma"/>
          <w:kern w:val="20"/>
        </w:rPr>
        <w:t>,</w:t>
      </w:r>
    </w:p>
    <w:p w14:paraId="12224EA0" w14:textId="77777777" w:rsidR="00791649" w:rsidRPr="00710DE4" w:rsidRDefault="00791649" w:rsidP="00791649">
      <w:pPr>
        <w:pStyle w:val="articlecontenu"/>
        <w:spacing w:after="0"/>
        <w:ind w:left="5664" w:firstLine="0"/>
        <w:rPr>
          <w:rFonts w:ascii="Tahoma" w:hAnsi="Tahoma" w:cs="Tahoma"/>
          <w:i/>
          <w:color w:val="FF0000"/>
        </w:rPr>
      </w:pPr>
      <w:r w:rsidRPr="00710DE4">
        <w:rPr>
          <w:rFonts w:ascii="Tahoma" w:hAnsi="Tahoma" w:cs="Tahoma"/>
          <w:kern w:val="20"/>
        </w:rPr>
        <w:t>Le Maire</w:t>
      </w:r>
      <w:r w:rsidRPr="00710DE4">
        <w:rPr>
          <w:rFonts w:ascii="Tahoma" w:hAnsi="Tahoma" w:cs="Tahoma"/>
          <w:color w:val="5F497A"/>
          <w:kern w:val="20"/>
        </w:rPr>
        <w:t xml:space="preserve"> </w:t>
      </w:r>
      <w:r w:rsidRPr="00710DE4">
        <w:rPr>
          <w:rFonts w:ascii="Tahoma" w:hAnsi="Tahoma" w:cs="Tahoma"/>
          <w:i/>
          <w:color w:val="FF0000"/>
        </w:rPr>
        <w:t>(le président),</w:t>
      </w:r>
    </w:p>
    <w:p w14:paraId="492EFA4F" w14:textId="77777777" w:rsidR="00791649" w:rsidRPr="00710DE4" w:rsidRDefault="00791649" w:rsidP="00791649">
      <w:pPr>
        <w:pStyle w:val="articlecontenu"/>
        <w:spacing w:after="0"/>
        <w:ind w:left="5664" w:firstLine="0"/>
        <w:rPr>
          <w:rFonts w:ascii="Tahoma" w:hAnsi="Tahoma" w:cs="Tahoma"/>
          <w:i/>
          <w:color w:val="FF0000"/>
        </w:rPr>
      </w:pPr>
      <w:r w:rsidRPr="00710DE4">
        <w:rPr>
          <w:rFonts w:ascii="Tahoma" w:hAnsi="Tahoma" w:cs="Tahoma"/>
          <w:i/>
          <w:color w:val="FF0000"/>
        </w:rPr>
        <w:t>(Prénom, nom lisibles et signature)</w:t>
      </w:r>
    </w:p>
    <w:p w14:paraId="2A458CA8" w14:textId="77777777" w:rsidR="00791649" w:rsidRPr="00710DE4" w:rsidRDefault="00791649" w:rsidP="00791649">
      <w:pPr>
        <w:pStyle w:val="articlecontenu"/>
        <w:spacing w:after="0"/>
        <w:ind w:left="5664" w:firstLine="0"/>
        <w:rPr>
          <w:rFonts w:ascii="Tahoma" w:hAnsi="Tahoma" w:cs="Tahoma"/>
          <w:i/>
          <w:color w:val="FF0000"/>
        </w:rPr>
      </w:pPr>
      <w:proofErr w:type="gramStart"/>
      <w:r w:rsidRPr="00710DE4">
        <w:rPr>
          <w:rFonts w:ascii="Tahoma" w:hAnsi="Tahoma" w:cs="Tahoma"/>
          <w:i/>
          <w:color w:val="FF0000"/>
        </w:rPr>
        <w:t>ou</w:t>
      </w:r>
      <w:proofErr w:type="gramEnd"/>
    </w:p>
    <w:p w14:paraId="4931C858" w14:textId="77777777" w:rsidR="00791649" w:rsidRPr="00710DE4" w:rsidRDefault="00791649" w:rsidP="00791649">
      <w:pPr>
        <w:pStyle w:val="articlecontenu"/>
        <w:spacing w:after="0"/>
        <w:ind w:left="5664" w:firstLine="0"/>
        <w:rPr>
          <w:rFonts w:ascii="Tahoma" w:hAnsi="Tahoma" w:cs="Tahoma"/>
          <w:i/>
          <w:color w:val="FF0000"/>
        </w:rPr>
      </w:pPr>
      <w:r w:rsidRPr="00710DE4">
        <w:rPr>
          <w:rFonts w:ascii="Tahoma" w:hAnsi="Tahoma" w:cs="Tahoma"/>
          <w:i/>
          <w:color w:val="FF0000"/>
        </w:rPr>
        <w:t>Par délégation,</w:t>
      </w:r>
    </w:p>
    <w:p w14:paraId="51DF6696" w14:textId="15A191C9" w:rsidR="00791649" w:rsidRPr="00710DE4" w:rsidRDefault="00791649" w:rsidP="005B3041">
      <w:pPr>
        <w:pStyle w:val="articlecontenu"/>
        <w:spacing w:after="0"/>
        <w:ind w:left="5664" w:firstLine="0"/>
        <w:rPr>
          <w:rFonts w:ascii="Tahoma" w:hAnsi="Tahoma" w:cs="Tahoma"/>
          <w:color w:val="365F91" w:themeColor="accent1" w:themeShade="BF"/>
          <w:kern w:val="20"/>
        </w:rPr>
      </w:pPr>
      <w:r w:rsidRPr="00710DE4">
        <w:rPr>
          <w:rFonts w:ascii="Tahoma" w:hAnsi="Tahoma" w:cs="Tahoma"/>
          <w:i/>
          <w:color w:val="FF0000"/>
        </w:rPr>
        <w:t>(Prénom, nom, qualité lisibles et signature)</w:t>
      </w:r>
    </w:p>
    <w:sectPr w:rsidR="00791649" w:rsidRPr="00710DE4" w:rsidSect="00300E86">
      <w:headerReference w:type="default" r:id="rId12"/>
      <w:footerReference w:type="default" r:id="rId13"/>
      <w:headerReference w:type="first" r:id="rId14"/>
      <w:footerReference w:type="first" r:id="rId15"/>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line="240" w:lineRule="auto"/>
      </w:pPr>
      <w:r>
        <w:separator/>
      </w:r>
    </w:p>
  </w:endnote>
  <w:endnote w:type="continuationSeparator" w:id="0">
    <w:p w14:paraId="514955C7" w14:textId="77777777" w:rsidR="00A924F9" w:rsidRDefault="00A924F9" w:rsidP="00E27274">
      <w:pPr>
        <w:spacing w:after="0" w:line="240" w:lineRule="auto"/>
      </w:pPr>
      <w:r>
        <w:continuationSeparator/>
      </w:r>
    </w:p>
  </w:endnote>
  <w:endnote w:type="continuationNotice" w:id="1">
    <w:p w14:paraId="341838DD" w14:textId="77777777" w:rsidR="00A924F9" w:rsidRDefault="00A92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480FDB5A"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r w:rsidRPr="00300E86">
            <w:rPr>
              <w:rFonts w:ascii="Lucida Sans Unicode" w:hAnsi="Lucida Sans Unicode" w:cs="Lucida Sans Unicode"/>
              <w:color w:val="808080" w:themeColor="background1" w:themeShade="80"/>
              <w:sz w:val="18"/>
            </w:rPr>
            <w:t xml:space="preserve"> – </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line="240" w:lineRule="auto"/>
      </w:pPr>
      <w:r>
        <w:separator/>
      </w:r>
    </w:p>
  </w:footnote>
  <w:footnote w:type="continuationSeparator" w:id="0">
    <w:p w14:paraId="36644D6B" w14:textId="77777777" w:rsidR="00A924F9" w:rsidRDefault="00A924F9" w:rsidP="00E27274">
      <w:pPr>
        <w:spacing w:after="0" w:line="240" w:lineRule="auto"/>
      </w:pPr>
      <w:r>
        <w:continuationSeparator/>
      </w:r>
    </w:p>
  </w:footnote>
  <w:footnote w:type="continuationNotice" w:id="1">
    <w:p w14:paraId="710E1AD5" w14:textId="77777777" w:rsidR="00A924F9" w:rsidRDefault="00A92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1829E5AE"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8"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1829E5AE"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5D022DE"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tblGrid>
    <w:tr w:rsidR="00791649" w14:paraId="20A3E7BC" w14:textId="77777777" w:rsidTr="007A510A">
      <w:tc>
        <w:tcPr>
          <w:tcW w:w="4602" w:type="dxa"/>
        </w:tcPr>
        <w:p w14:paraId="23AAF7D5" w14:textId="186A192B" w:rsidR="00791649" w:rsidRDefault="00791649">
          <w:pPr>
            <w:pStyle w:val="En-tte"/>
          </w:pPr>
        </w:p>
      </w:tc>
    </w:tr>
  </w:tbl>
  <w:p w14:paraId="06CF2881" w14:textId="3D8E9ECB" w:rsidR="00A924F9" w:rsidRDefault="000E58B9">
    <w:pPr>
      <w:pStyle w:val="En-tte"/>
    </w:pPr>
    <w:r>
      <w:rPr>
        <w:noProof/>
      </w:rPr>
      <mc:AlternateContent>
        <mc:Choice Requires="wps">
          <w:drawing>
            <wp:anchor distT="0" distB="0" distL="114300" distR="114300" simplePos="0" relativeHeight="251659264" behindDoc="0" locked="0" layoutInCell="1" allowOverlap="1" wp14:anchorId="398DFB71" wp14:editId="236E9C87">
              <wp:simplePos x="0" y="0"/>
              <wp:positionH relativeFrom="column">
                <wp:posOffset>-5955665</wp:posOffset>
              </wp:positionH>
              <wp:positionV relativeFrom="paragraph">
                <wp:posOffset>4473575</wp:posOffset>
              </wp:positionV>
              <wp:extent cx="10744200" cy="821690"/>
              <wp:effectExtent l="8255" t="0" r="8255" b="825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88B6C9" id="Rectangle 9" o:spid="_x0000_s1026" style="position:absolute;margin-left:-468.95pt;margin-top:352.25pt;width:846pt;height:64.7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" fillcolor="#4bacc6" stroked="f">
              <v:fill color2="#7ac2d5" rotate="t" angle="90" focus="100%" type="gradient"/>
              <v:shadow color="#a5a5a5 [2092]" offset="3pt"/>
              <v:textbox inset="1.5mm,.3mm,1.5mm,.3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4565_"/>
      </v:shape>
    </w:pict>
  </w:numPicBullet>
  <w:numPicBullet w:numPicBulletId="1">
    <w:pict>
      <v:shape w14:anchorId="7BE1A080" id="_x0000_i1027" type="#_x0000_t75" style="width:7.5pt;height:7.5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7"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10F9C"/>
    <w:multiLevelType w:val="hybridMultilevel"/>
    <w:tmpl w:val="AD761E52"/>
    <w:lvl w:ilvl="0" w:tplc="8E34C8D2">
      <w:start w:val="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
  </w:num>
  <w:num w:numId="4">
    <w:abstractNumId w:val="15"/>
  </w:num>
  <w:num w:numId="5">
    <w:abstractNumId w:val="27"/>
  </w:num>
  <w:num w:numId="6">
    <w:abstractNumId w:val="3"/>
  </w:num>
  <w:num w:numId="7">
    <w:abstractNumId w:val="2"/>
  </w:num>
  <w:num w:numId="8">
    <w:abstractNumId w:val="24"/>
  </w:num>
  <w:num w:numId="9">
    <w:abstractNumId w:val="18"/>
  </w:num>
  <w:num w:numId="10">
    <w:abstractNumId w:val="21"/>
  </w:num>
  <w:num w:numId="11">
    <w:abstractNumId w:val="7"/>
  </w:num>
  <w:num w:numId="12">
    <w:abstractNumId w:val="9"/>
  </w:num>
  <w:num w:numId="13">
    <w:abstractNumId w:val="11"/>
  </w:num>
  <w:num w:numId="14">
    <w:abstractNumId w:val="13"/>
  </w:num>
  <w:num w:numId="15">
    <w:abstractNumId w:val="8"/>
  </w:num>
  <w:num w:numId="16">
    <w:abstractNumId w:val="10"/>
  </w:num>
  <w:num w:numId="17">
    <w:abstractNumId w:val="25"/>
  </w:num>
  <w:num w:numId="18">
    <w:abstractNumId w:val="6"/>
  </w:num>
  <w:num w:numId="19">
    <w:abstractNumId w:val="23"/>
  </w:num>
  <w:num w:numId="20">
    <w:abstractNumId w:val="19"/>
  </w:num>
  <w:num w:numId="21">
    <w:abstractNumId w:val="17"/>
  </w:num>
  <w:num w:numId="22">
    <w:abstractNumId w:val="12"/>
  </w:num>
  <w:num w:numId="23">
    <w:abstractNumId w:val="4"/>
  </w:num>
  <w:num w:numId="24">
    <w:abstractNumId w:val="22"/>
  </w:num>
  <w:num w:numId="25">
    <w:abstractNumId w:val="29"/>
  </w:num>
  <w:num w:numId="26">
    <w:abstractNumId w:val="14"/>
  </w:num>
  <w:num w:numId="27">
    <w:abstractNumId w:val="16"/>
  </w:num>
  <w:num w:numId="28">
    <w:abstractNumId w:val="0"/>
  </w:num>
  <w:num w:numId="29">
    <w:abstractNumId w:val="26"/>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3626C"/>
    <w:rsid w:val="00041788"/>
    <w:rsid w:val="000523EB"/>
    <w:rsid w:val="000540A5"/>
    <w:rsid w:val="000617BC"/>
    <w:rsid w:val="00061B4E"/>
    <w:rsid w:val="00067113"/>
    <w:rsid w:val="000672A8"/>
    <w:rsid w:val="0007072D"/>
    <w:rsid w:val="00081F9A"/>
    <w:rsid w:val="000826FB"/>
    <w:rsid w:val="000C60CF"/>
    <w:rsid w:val="000D1E61"/>
    <w:rsid w:val="000D66FB"/>
    <w:rsid w:val="000D6847"/>
    <w:rsid w:val="000E0521"/>
    <w:rsid w:val="000E145B"/>
    <w:rsid w:val="000E240C"/>
    <w:rsid w:val="000E58B9"/>
    <w:rsid w:val="000E7A9B"/>
    <w:rsid w:val="000F19D6"/>
    <w:rsid w:val="00101B14"/>
    <w:rsid w:val="00104900"/>
    <w:rsid w:val="00112575"/>
    <w:rsid w:val="001169AA"/>
    <w:rsid w:val="00120FA4"/>
    <w:rsid w:val="00121C1D"/>
    <w:rsid w:val="0012378C"/>
    <w:rsid w:val="0012726E"/>
    <w:rsid w:val="001305E8"/>
    <w:rsid w:val="0014085B"/>
    <w:rsid w:val="00156684"/>
    <w:rsid w:val="00156BC9"/>
    <w:rsid w:val="001650B4"/>
    <w:rsid w:val="00187ABA"/>
    <w:rsid w:val="00191333"/>
    <w:rsid w:val="001921C3"/>
    <w:rsid w:val="001A2B9B"/>
    <w:rsid w:val="001A33F8"/>
    <w:rsid w:val="001B1638"/>
    <w:rsid w:val="001B3233"/>
    <w:rsid w:val="001C7386"/>
    <w:rsid w:val="001D1CA5"/>
    <w:rsid w:val="001F1E65"/>
    <w:rsid w:val="00200EA8"/>
    <w:rsid w:val="002118EC"/>
    <w:rsid w:val="00224400"/>
    <w:rsid w:val="00230A2F"/>
    <w:rsid w:val="00234D3A"/>
    <w:rsid w:val="002355F9"/>
    <w:rsid w:val="002440DE"/>
    <w:rsid w:val="0024452C"/>
    <w:rsid w:val="002670C7"/>
    <w:rsid w:val="0027021D"/>
    <w:rsid w:val="00273D60"/>
    <w:rsid w:val="0027703E"/>
    <w:rsid w:val="00295234"/>
    <w:rsid w:val="002A221B"/>
    <w:rsid w:val="002A2ECC"/>
    <w:rsid w:val="002A7B6F"/>
    <w:rsid w:val="002B02B4"/>
    <w:rsid w:val="002B7043"/>
    <w:rsid w:val="002C2864"/>
    <w:rsid w:val="002C66F5"/>
    <w:rsid w:val="002D0FA5"/>
    <w:rsid w:val="002D174B"/>
    <w:rsid w:val="002D741F"/>
    <w:rsid w:val="002E7D34"/>
    <w:rsid w:val="002F5DCB"/>
    <w:rsid w:val="002F69CC"/>
    <w:rsid w:val="00300E86"/>
    <w:rsid w:val="003016DB"/>
    <w:rsid w:val="0030239B"/>
    <w:rsid w:val="003035E2"/>
    <w:rsid w:val="00306665"/>
    <w:rsid w:val="00312FD3"/>
    <w:rsid w:val="0031578F"/>
    <w:rsid w:val="00316450"/>
    <w:rsid w:val="00316EB6"/>
    <w:rsid w:val="00317335"/>
    <w:rsid w:val="00317724"/>
    <w:rsid w:val="003200A7"/>
    <w:rsid w:val="00321B4C"/>
    <w:rsid w:val="003259A8"/>
    <w:rsid w:val="0033110C"/>
    <w:rsid w:val="00345603"/>
    <w:rsid w:val="00347E9F"/>
    <w:rsid w:val="0035019F"/>
    <w:rsid w:val="003562D4"/>
    <w:rsid w:val="003605F8"/>
    <w:rsid w:val="00363A20"/>
    <w:rsid w:val="0036653E"/>
    <w:rsid w:val="003738F4"/>
    <w:rsid w:val="00374B1C"/>
    <w:rsid w:val="0037634F"/>
    <w:rsid w:val="00394E0E"/>
    <w:rsid w:val="003A0E0F"/>
    <w:rsid w:val="003A4757"/>
    <w:rsid w:val="003A4CF2"/>
    <w:rsid w:val="003B0083"/>
    <w:rsid w:val="003B23C9"/>
    <w:rsid w:val="003B427A"/>
    <w:rsid w:val="003C28C8"/>
    <w:rsid w:val="003C45F6"/>
    <w:rsid w:val="003D427B"/>
    <w:rsid w:val="003E04AF"/>
    <w:rsid w:val="003F1727"/>
    <w:rsid w:val="003F201A"/>
    <w:rsid w:val="003F3694"/>
    <w:rsid w:val="00405868"/>
    <w:rsid w:val="00414265"/>
    <w:rsid w:val="004143FD"/>
    <w:rsid w:val="004268E6"/>
    <w:rsid w:val="00435E08"/>
    <w:rsid w:val="004449C1"/>
    <w:rsid w:val="004546AF"/>
    <w:rsid w:val="00454E48"/>
    <w:rsid w:val="0045570A"/>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A5B"/>
    <w:rsid w:val="004B0F32"/>
    <w:rsid w:val="004B2628"/>
    <w:rsid w:val="004B6AAD"/>
    <w:rsid w:val="004C1820"/>
    <w:rsid w:val="004C201F"/>
    <w:rsid w:val="004C6047"/>
    <w:rsid w:val="004C6127"/>
    <w:rsid w:val="004E3F35"/>
    <w:rsid w:val="004E5C2D"/>
    <w:rsid w:val="004E612D"/>
    <w:rsid w:val="004F2F68"/>
    <w:rsid w:val="00506FF3"/>
    <w:rsid w:val="005113C4"/>
    <w:rsid w:val="0051242B"/>
    <w:rsid w:val="0051280B"/>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847B0"/>
    <w:rsid w:val="0058505E"/>
    <w:rsid w:val="00585FD9"/>
    <w:rsid w:val="005A0DEC"/>
    <w:rsid w:val="005A4B20"/>
    <w:rsid w:val="005B1502"/>
    <w:rsid w:val="005B3041"/>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17F6A"/>
    <w:rsid w:val="006229F6"/>
    <w:rsid w:val="00624C14"/>
    <w:rsid w:val="00625E80"/>
    <w:rsid w:val="00633073"/>
    <w:rsid w:val="0064254F"/>
    <w:rsid w:val="0065224F"/>
    <w:rsid w:val="00653DB6"/>
    <w:rsid w:val="006572D6"/>
    <w:rsid w:val="00664C5D"/>
    <w:rsid w:val="00672108"/>
    <w:rsid w:val="00673135"/>
    <w:rsid w:val="0067423F"/>
    <w:rsid w:val="00686264"/>
    <w:rsid w:val="006878BA"/>
    <w:rsid w:val="00694F0E"/>
    <w:rsid w:val="0069592A"/>
    <w:rsid w:val="00696A18"/>
    <w:rsid w:val="006976DF"/>
    <w:rsid w:val="006A0934"/>
    <w:rsid w:val="006A2437"/>
    <w:rsid w:val="006A279A"/>
    <w:rsid w:val="006A27CA"/>
    <w:rsid w:val="006A4B59"/>
    <w:rsid w:val="006A7A10"/>
    <w:rsid w:val="006B6EE6"/>
    <w:rsid w:val="006B7C8C"/>
    <w:rsid w:val="006C034B"/>
    <w:rsid w:val="006C0DBB"/>
    <w:rsid w:val="006C2B5D"/>
    <w:rsid w:val="006C3DB4"/>
    <w:rsid w:val="006C56E5"/>
    <w:rsid w:val="006C5717"/>
    <w:rsid w:val="006D0055"/>
    <w:rsid w:val="006D1F69"/>
    <w:rsid w:val="006D3A1F"/>
    <w:rsid w:val="006E00EE"/>
    <w:rsid w:val="006E5045"/>
    <w:rsid w:val="006E598B"/>
    <w:rsid w:val="006F5128"/>
    <w:rsid w:val="006F548E"/>
    <w:rsid w:val="006F7994"/>
    <w:rsid w:val="0070734E"/>
    <w:rsid w:val="00710DE4"/>
    <w:rsid w:val="00711A70"/>
    <w:rsid w:val="00724830"/>
    <w:rsid w:val="00731877"/>
    <w:rsid w:val="00731B13"/>
    <w:rsid w:val="00731D6B"/>
    <w:rsid w:val="00734416"/>
    <w:rsid w:val="00735187"/>
    <w:rsid w:val="00741FDC"/>
    <w:rsid w:val="00742F62"/>
    <w:rsid w:val="00743313"/>
    <w:rsid w:val="00744B1D"/>
    <w:rsid w:val="00764B27"/>
    <w:rsid w:val="00781D0D"/>
    <w:rsid w:val="0078478F"/>
    <w:rsid w:val="00785733"/>
    <w:rsid w:val="00791649"/>
    <w:rsid w:val="00797800"/>
    <w:rsid w:val="007A013C"/>
    <w:rsid w:val="007A0F13"/>
    <w:rsid w:val="007A510A"/>
    <w:rsid w:val="007A784B"/>
    <w:rsid w:val="007B4C69"/>
    <w:rsid w:val="007C13B6"/>
    <w:rsid w:val="007C3E78"/>
    <w:rsid w:val="007E4093"/>
    <w:rsid w:val="007E5714"/>
    <w:rsid w:val="007E613B"/>
    <w:rsid w:val="007F04A7"/>
    <w:rsid w:val="007F419D"/>
    <w:rsid w:val="007F4C20"/>
    <w:rsid w:val="00800047"/>
    <w:rsid w:val="008000C7"/>
    <w:rsid w:val="008231AE"/>
    <w:rsid w:val="00823B4A"/>
    <w:rsid w:val="00833FAA"/>
    <w:rsid w:val="00834B24"/>
    <w:rsid w:val="00834E4E"/>
    <w:rsid w:val="008357EE"/>
    <w:rsid w:val="00842B3D"/>
    <w:rsid w:val="00842F18"/>
    <w:rsid w:val="00843221"/>
    <w:rsid w:val="0084412C"/>
    <w:rsid w:val="0085220D"/>
    <w:rsid w:val="00852558"/>
    <w:rsid w:val="00853220"/>
    <w:rsid w:val="0085323A"/>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50776"/>
    <w:rsid w:val="009545EE"/>
    <w:rsid w:val="00960606"/>
    <w:rsid w:val="00961093"/>
    <w:rsid w:val="009629B2"/>
    <w:rsid w:val="009864FE"/>
    <w:rsid w:val="009A4A04"/>
    <w:rsid w:val="009C1BC5"/>
    <w:rsid w:val="009C31CB"/>
    <w:rsid w:val="009C4066"/>
    <w:rsid w:val="009D1A9E"/>
    <w:rsid w:val="009D284A"/>
    <w:rsid w:val="009D4A09"/>
    <w:rsid w:val="009D56A5"/>
    <w:rsid w:val="009D6B9A"/>
    <w:rsid w:val="009D75DA"/>
    <w:rsid w:val="009F6243"/>
    <w:rsid w:val="009F77D2"/>
    <w:rsid w:val="00A15C13"/>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74E09"/>
    <w:rsid w:val="00A82D77"/>
    <w:rsid w:val="00A84980"/>
    <w:rsid w:val="00A924F9"/>
    <w:rsid w:val="00A937FE"/>
    <w:rsid w:val="00AA2380"/>
    <w:rsid w:val="00AB0E99"/>
    <w:rsid w:val="00AB10EC"/>
    <w:rsid w:val="00AB1E9D"/>
    <w:rsid w:val="00AC14A1"/>
    <w:rsid w:val="00AC3C3F"/>
    <w:rsid w:val="00AC681E"/>
    <w:rsid w:val="00AD34DF"/>
    <w:rsid w:val="00AD54C8"/>
    <w:rsid w:val="00AD7E6C"/>
    <w:rsid w:val="00AE0766"/>
    <w:rsid w:val="00AF1999"/>
    <w:rsid w:val="00AF6572"/>
    <w:rsid w:val="00B10793"/>
    <w:rsid w:val="00B10CD8"/>
    <w:rsid w:val="00B13FC8"/>
    <w:rsid w:val="00B166FB"/>
    <w:rsid w:val="00B25A2E"/>
    <w:rsid w:val="00B302CB"/>
    <w:rsid w:val="00B30716"/>
    <w:rsid w:val="00B3199F"/>
    <w:rsid w:val="00B37256"/>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C60A8"/>
    <w:rsid w:val="00BD6387"/>
    <w:rsid w:val="00BE0012"/>
    <w:rsid w:val="00BE2499"/>
    <w:rsid w:val="00BF0EC1"/>
    <w:rsid w:val="00C00BA0"/>
    <w:rsid w:val="00C102DE"/>
    <w:rsid w:val="00C12D6A"/>
    <w:rsid w:val="00C139E8"/>
    <w:rsid w:val="00C16C59"/>
    <w:rsid w:val="00C16E8E"/>
    <w:rsid w:val="00C257E3"/>
    <w:rsid w:val="00C262F8"/>
    <w:rsid w:val="00C34222"/>
    <w:rsid w:val="00C3591C"/>
    <w:rsid w:val="00C366F1"/>
    <w:rsid w:val="00C43178"/>
    <w:rsid w:val="00C50E34"/>
    <w:rsid w:val="00C525EC"/>
    <w:rsid w:val="00C62977"/>
    <w:rsid w:val="00C74017"/>
    <w:rsid w:val="00C741F9"/>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D1B3E"/>
    <w:rsid w:val="00CD314E"/>
    <w:rsid w:val="00CF1532"/>
    <w:rsid w:val="00CF54F8"/>
    <w:rsid w:val="00CF6F3D"/>
    <w:rsid w:val="00D15D66"/>
    <w:rsid w:val="00D229FA"/>
    <w:rsid w:val="00D352A5"/>
    <w:rsid w:val="00D41CAA"/>
    <w:rsid w:val="00D44124"/>
    <w:rsid w:val="00D53CEB"/>
    <w:rsid w:val="00D54E63"/>
    <w:rsid w:val="00D562F8"/>
    <w:rsid w:val="00D6002B"/>
    <w:rsid w:val="00D60D81"/>
    <w:rsid w:val="00D61E66"/>
    <w:rsid w:val="00D62B9C"/>
    <w:rsid w:val="00D651B7"/>
    <w:rsid w:val="00D65E8A"/>
    <w:rsid w:val="00D701AE"/>
    <w:rsid w:val="00D719FD"/>
    <w:rsid w:val="00D75759"/>
    <w:rsid w:val="00D76268"/>
    <w:rsid w:val="00D85EED"/>
    <w:rsid w:val="00DA0E99"/>
    <w:rsid w:val="00DA65FD"/>
    <w:rsid w:val="00DA66D2"/>
    <w:rsid w:val="00DA7328"/>
    <w:rsid w:val="00DA7498"/>
    <w:rsid w:val="00DB3084"/>
    <w:rsid w:val="00DB5329"/>
    <w:rsid w:val="00DC031A"/>
    <w:rsid w:val="00DC3775"/>
    <w:rsid w:val="00DD3BD8"/>
    <w:rsid w:val="00DD637E"/>
    <w:rsid w:val="00DD7673"/>
    <w:rsid w:val="00DE0206"/>
    <w:rsid w:val="00DE0EF3"/>
    <w:rsid w:val="00DE12AC"/>
    <w:rsid w:val="00DE3851"/>
    <w:rsid w:val="00DE4178"/>
    <w:rsid w:val="00DF7665"/>
    <w:rsid w:val="00E00428"/>
    <w:rsid w:val="00E042B0"/>
    <w:rsid w:val="00E104AA"/>
    <w:rsid w:val="00E16CC2"/>
    <w:rsid w:val="00E23C47"/>
    <w:rsid w:val="00E25035"/>
    <w:rsid w:val="00E27274"/>
    <w:rsid w:val="00E33830"/>
    <w:rsid w:val="00E43984"/>
    <w:rsid w:val="00E45463"/>
    <w:rsid w:val="00E53CAC"/>
    <w:rsid w:val="00E6352D"/>
    <w:rsid w:val="00E675FA"/>
    <w:rsid w:val="00E70603"/>
    <w:rsid w:val="00E70892"/>
    <w:rsid w:val="00E72FD3"/>
    <w:rsid w:val="00E748E8"/>
    <w:rsid w:val="00E7507F"/>
    <w:rsid w:val="00E75959"/>
    <w:rsid w:val="00E84F67"/>
    <w:rsid w:val="00E962DA"/>
    <w:rsid w:val="00EA123E"/>
    <w:rsid w:val="00EA4CE8"/>
    <w:rsid w:val="00EB0B4F"/>
    <w:rsid w:val="00EB4DAD"/>
    <w:rsid w:val="00EC0E3E"/>
    <w:rsid w:val="00ED117C"/>
    <w:rsid w:val="00ED168D"/>
    <w:rsid w:val="00ED430A"/>
    <w:rsid w:val="00EE068D"/>
    <w:rsid w:val="00EE2864"/>
    <w:rsid w:val="00EF10E9"/>
    <w:rsid w:val="00EF17C5"/>
    <w:rsid w:val="00EF78B2"/>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4746C"/>
    <w:rsid w:val="00F5228F"/>
    <w:rsid w:val="00F524FB"/>
    <w:rsid w:val="00F578EF"/>
    <w:rsid w:val="00F57B2B"/>
    <w:rsid w:val="00F60C29"/>
    <w:rsid w:val="00F64E92"/>
    <w:rsid w:val="00F71086"/>
    <w:rsid w:val="00F73EE0"/>
    <w:rsid w:val="00F75BA3"/>
    <w:rsid w:val="00F80B36"/>
    <w:rsid w:val="00F817C3"/>
    <w:rsid w:val="00F829FA"/>
    <w:rsid w:val="00F90097"/>
    <w:rsid w:val="00F903A9"/>
    <w:rsid w:val="00F96B17"/>
    <w:rsid w:val="00FA18BF"/>
    <w:rsid w:val="00FA4911"/>
    <w:rsid w:val="00FA51EB"/>
    <w:rsid w:val="00FC12EF"/>
    <w:rsid w:val="00FD07CB"/>
    <w:rsid w:val="00FD2C4E"/>
    <w:rsid w:val="00FD4DC7"/>
    <w:rsid w:val="00FF0518"/>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line="240" w:lineRule="auto"/>
    </w:pPr>
    <w:rPr>
      <w:b/>
      <w:sz w:val="20"/>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line="240" w:lineRule="auto"/>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pPr>
      <w:spacing w:line="240" w:lineRule="auto"/>
    </w:pPr>
    <w:rPr>
      <w:sz w:val="20"/>
    </w:rPr>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Normal1">
    <w:name w:val="Normal1"/>
    <w:rsid w:val="00834B24"/>
    <w:pPr>
      <w:suppressAutoHyphens/>
      <w:spacing w:after="200" w:line="100" w:lineRule="atLeast"/>
    </w:pPr>
    <w:rPr>
      <w:rFonts w:ascii="Liberation Serif" w:eastAsia="SimSun" w:hAnsi="Liberation Serif" w:cs="Mangal"/>
      <w:color w:val="00000A"/>
      <w:sz w:val="24"/>
      <w:szCs w:val="24"/>
      <w:lang w:eastAsia="hi-IN" w:bidi="hi-IN"/>
    </w:rPr>
  </w:style>
  <w:style w:type="paragraph" w:customStyle="1" w:styleId="Retraitdecorpsdetexte">
    <w:name w:val="Retrait de corps de texte"/>
    <w:basedOn w:val="Normal"/>
    <w:rsid w:val="002B7043"/>
    <w:pPr>
      <w:widowControl w:val="0"/>
      <w:suppressAutoHyphens/>
      <w:autoSpaceDN w:val="0"/>
      <w:spacing w:after="0" w:line="240" w:lineRule="auto"/>
      <w:ind w:right="28" w:firstLine="851"/>
      <w:textAlignment w:val="baseline"/>
    </w:pPr>
    <w:rPr>
      <w:rFonts w:ascii="Liberation Serif" w:eastAsia="SimSun" w:hAnsi="Liberation Serif" w:cs="Mangal"/>
      <w:color w:val="00000A"/>
      <w:kern w:val="3"/>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998653848">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087730122">
      <w:bodyDiv w:val="1"/>
      <w:marLeft w:val="0"/>
      <w:marRight w:val="0"/>
      <w:marTop w:val="0"/>
      <w:marBottom w:val="0"/>
      <w:divBdr>
        <w:top w:val="none" w:sz="0" w:space="0" w:color="auto"/>
        <w:left w:val="none" w:sz="0" w:space="0" w:color="auto"/>
        <w:bottom w:val="none" w:sz="0" w:space="0" w:color="auto"/>
        <w:right w:val="none" w:sz="0" w:space="0" w:color="auto"/>
      </w:divBdr>
    </w:div>
    <w:div w:id="1182159689">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648244663">
      <w:bodyDiv w:val="1"/>
      <w:marLeft w:val="0"/>
      <w:marRight w:val="0"/>
      <w:marTop w:val="0"/>
      <w:marBottom w:val="0"/>
      <w:divBdr>
        <w:top w:val="none" w:sz="0" w:space="0" w:color="auto"/>
        <w:left w:val="none" w:sz="0" w:space="0" w:color="auto"/>
        <w:bottom w:val="none" w:sz="0" w:space="0" w:color="auto"/>
        <w:right w:val="none" w:sz="0" w:space="0" w:color="auto"/>
      </w:divBdr>
    </w:div>
    <w:div w:id="1674382702">
      <w:bodyDiv w:val="1"/>
      <w:marLeft w:val="0"/>
      <w:marRight w:val="0"/>
      <w:marTop w:val="0"/>
      <w:marBottom w:val="0"/>
      <w:divBdr>
        <w:top w:val="none" w:sz="0" w:space="0" w:color="auto"/>
        <w:left w:val="none" w:sz="0" w:space="0" w:color="auto"/>
        <w:bottom w:val="none" w:sz="0" w:space="0" w:color="auto"/>
        <w:right w:val="none" w:sz="0" w:space="0" w:color="auto"/>
      </w:divBdr>
    </w:div>
    <w:div w:id="1711027631">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98782-EE2F-40DC-A8FB-65B492BF91C5}">
  <ds:schemaRefs>
    <ds:schemaRef ds:uri="http://schemas.microsoft.com/office/2006/documentManagement/types"/>
    <ds:schemaRef ds:uri="cac6c717-0427-41df-8cbf-34a1150a5cf1"/>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26B6AC-2656-45D5-BA8B-726B0863D564}"/>
</file>

<file path=customXml/itemProps3.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4.xml><?xml version="1.0" encoding="utf-8"?>
<ds:datastoreItem xmlns:ds="http://schemas.openxmlformats.org/officeDocument/2006/customXml" ds:itemID="{BB5CA0BC-6D02-48E7-94E6-79CFC3B2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1042</Words>
  <Characters>5736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BELMONT Théo</cp:lastModifiedBy>
  <cp:revision>23</cp:revision>
  <cp:lastPrinted>2023-04-07T09:57:00Z</cp:lastPrinted>
  <dcterms:created xsi:type="dcterms:W3CDTF">2023-03-16T10:21:00Z</dcterms:created>
  <dcterms:modified xsi:type="dcterms:W3CDTF">2023-05-09T10:34:00Z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