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33816636" w:rsidR="00E27274" w:rsidRPr="00AC681E" w:rsidRDefault="007C3FCF" w:rsidP="007C3FCF">
      <w:pPr>
        <w:pBdr>
          <w:top w:val="single" w:sz="4" w:space="1" w:color="auto"/>
          <w:left w:val="single" w:sz="4" w:space="4"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r>
        <w:rPr>
          <w:noProof/>
        </w:rPr>
        <w:drawing>
          <wp:anchor distT="0" distB="0" distL="114300" distR="114300" simplePos="0" relativeHeight="251660291" behindDoc="1" locked="0" layoutInCell="1" allowOverlap="1" wp14:anchorId="5A2DE13A" wp14:editId="1ADFA394">
            <wp:simplePos x="0" y="0"/>
            <wp:positionH relativeFrom="margin">
              <wp:align>left</wp:align>
            </wp:positionH>
            <wp:positionV relativeFrom="paragraph">
              <wp:posOffset>-150495</wp:posOffset>
            </wp:positionV>
            <wp:extent cx="1725295" cy="1483360"/>
            <wp:effectExtent l="0" t="0" r="8255"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295" cy="148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083">
        <w:rPr>
          <w:rFonts w:ascii="Tahoma" w:hAnsi="Tahoma" w:cs="Tahoma"/>
          <w:b/>
          <w:noProof/>
          <w:color w:val="365F91" w:themeColor="accent1" w:themeShade="BF"/>
          <w:kern w:val="20"/>
        </w:rPr>
        <mc:AlternateContent>
          <mc:Choice Requires="wps">
            <w:drawing>
              <wp:anchor distT="0" distB="0" distL="114300" distR="114300" simplePos="0" relativeHeight="251658240" behindDoc="0" locked="0" layoutInCell="1" allowOverlap="1" wp14:anchorId="06CF2872" wp14:editId="224C8E20">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172F25EA"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sidR="007C3FCF">
                              <w:rPr>
                                <w:rFonts w:ascii="Lucida Sans Unicode" w:hAnsi="Lucida Sans Unicode" w:cs="Lucida Sans Unicode"/>
                                <w:i/>
                                <w:color w:val="C0504D" w:themeColor="accent2"/>
                                <w:kern w:val="20"/>
                                <w:sz w:val="18"/>
                                <w:szCs w:val="18"/>
                              </w:rPr>
                              <w:t>Juillet</w:t>
                            </w:r>
                            <w:r w:rsidR="00AD54C8">
                              <w:rPr>
                                <w:rFonts w:ascii="Lucida Sans Unicode" w:hAnsi="Lucida Sans Unicode" w:cs="Lucida Sans Unicode"/>
                                <w:i/>
                                <w:color w:val="C0504D" w:themeColor="accent2"/>
                                <w:kern w:val="20"/>
                                <w:sz w:val="18"/>
                                <w:szCs w:val="18"/>
                              </w:rPr>
                              <w:t xml:space="preserve"> 2022</w:t>
                            </w:r>
                            <w:r>
                              <w:rPr>
                                <w:rFonts w:ascii="Lucida Sans Unicode" w:hAnsi="Lucida Sans Unicode" w:cs="Lucida Sans Unicode"/>
                                <w:i/>
                                <w:color w:val="C0504D" w:themeColor="accent2"/>
                                <w:kern w:val="20"/>
                                <w:sz w:val="18"/>
                                <w:szCs w:val="18"/>
                              </w:rPr>
                              <w:t>)</w:t>
                            </w:r>
                            <w:r w:rsidR="00DE45E4">
                              <w:rPr>
                                <w:rFonts w:ascii="Lucida Sans Unicode" w:hAnsi="Lucida Sans Unicode" w:cs="Lucida Sans Unicode"/>
                                <w:i/>
                                <w:color w:val="C0504D" w:themeColor="accent2"/>
                                <w:kern w:val="20"/>
                                <w:sz w:val="18"/>
                                <w:szCs w:val="18"/>
                              </w:rPr>
                              <w:t xml:space="preserve"> </w:t>
                            </w:r>
                            <w:r w:rsidR="00DE45E4" w:rsidRPr="00DE45E4">
                              <w:rPr>
                                <w:rFonts w:ascii="Lucida Sans Unicode" w:hAnsi="Lucida Sans Unicode" w:cs="Lucida Sans Unicode"/>
                                <w:i/>
                                <w:color w:val="C0504D" w:themeColor="accent2"/>
                                <w:kern w:val="20"/>
                                <w:sz w:val="18"/>
                                <w:szCs w:val="18"/>
                                <w:highlight w:val="yellow"/>
                              </w:rPr>
                              <w:t>MAJ décembre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172F25EA"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sidR="007C3FCF">
                        <w:rPr>
                          <w:rFonts w:ascii="Lucida Sans Unicode" w:hAnsi="Lucida Sans Unicode" w:cs="Lucida Sans Unicode"/>
                          <w:i/>
                          <w:color w:val="C0504D" w:themeColor="accent2"/>
                          <w:kern w:val="20"/>
                          <w:sz w:val="18"/>
                          <w:szCs w:val="18"/>
                        </w:rPr>
                        <w:t>Juillet</w:t>
                      </w:r>
                      <w:r w:rsidR="00AD54C8">
                        <w:rPr>
                          <w:rFonts w:ascii="Lucida Sans Unicode" w:hAnsi="Lucida Sans Unicode" w:cs="Lucida Sans Unicode"/>
                          <w:i/>
                          <w:color w:val="C0504D" w:themeColor="accent2"/>
                          <w:kern w:val="20"/>
                          <w:sz w:val="18"/>
                          <w:szCs w:val="18"/>
                        </w:rPr>
                        <w:t xml:space="preserve"> 2022</w:t>
                      </w:r>
                      <w:r>
                        <w:rPr>
                          <w:rFonts w:ascii="Lucida Sans Unicode" w:hAnsi="Lucida Sans Unicode" w:cs="Lucida Sans Unicode"/>
                          <w:i/>
                          <w:color w:val="C0504D" w:themeColor="accent2"/>
                          <w:kern w:val="20"/>
                          <w:sz w:val="18"/>
                          <w:szCs w:val="18"/>
                        </w:rPr>
                        <w:t>)</w:t>
                      </w:r>
                      <w:r w:rsidR="00DE45E4">
                        <w:rPr>
                          <w:rFonts w:ascii="Lucida Sans Unicode" w:hAnsi="Lucida Sans Unicode" w:cs="Lucida Sans Unicode"/>
                          <w:i/>
                          <w:color w:val="C0504D" w:themeColor="accent2"/>
                          <w:kern w:val="20"/>
                          <w:sz w:val="18"/>
                          <w:szCs w:val="18"/>
                        </w:rPr>
                        <w:t xml:space="preserve"> </w:t>
                      </w:r>
                      <w:r w:rsidR="00DE45E4" w:rsidRPr="00DE45E4">
                        <w:rPr>
                          <w:rFonts w:ascii="Lucida Sans Unicode" w:hAnsi="Lucida Sans Unicode" w:cs="Lucida Sans Unicode"/>
                          <w:i/>
                          <w:color w:val="C0504D" w:themeColor="accent2"/>
                          <w:kern w:val="20"/>
                          <w:sz w:val="18"/>
                          <w:szCs w:val="18"/>
                          <w:highlight w:val="yellow"/>
                        </w:rPr>
                        <w:t>MAJ décembre 2022</w:t>
                      </w:r>
                    </w:p>
                  </w:txbxContent>
                </v:textbox>
              </v:shape>
            </w:pict>
          </mc:Fallback>
        </mc:AlternateContent>
      </w:r>
      <w:r w:rsidR="000617BC" w:rsidRPr="00AC681E">
        <w:rPr>
          <w:rFonts w:ascii="Tahoma" w:hAnsi="Tahoma" w:cs="Tahoma"/>
          <w:b/>
          <w:color w:val="365F91" w:themeColor="accent1" w:themeShade="BF"/>
          <w:kern w:val="20"/>
        </w:rPr>
        <w:t>DELIBERATION</w:t>
      </w:r>
      <w:r w:rsidR="00A937FE" w:rsidRPr="00AC681E">
        <w:rPr>
          <w:rFonts w:ascii="Tahoma" w:hAnsi="Tahoma" w:cs="Tahoma"/>
          <w:b/>
          <w:color w:val="365F91" w:themeColor="accent1" w:themeShade="BF"/>
          <w:kern w:val="20"/>
        </w:rPr>
        <w:t xml:space="preserve"> </w:t>
      </w:r>
      <w:r w:rsidR="00961093" w:rsidRPr="00AC681E">
        <w:rPr>
          <w:rFonts w:ascii="Tahoma" w:hAnsi="Tahoma" w:cs="Tahoma"/>
          <w:b/>
          <w:color w:val="365F91" w:themeColor="accent1" w:themeShade="BF"/>
          <w:kern w:val="20"/>
        </w:rPr>
        <w:t>N</w:t>
      </w:r>
      <w:r w:rsidR="000E0521" w:rsidRPr="00AC681E">
        <w:rPr>
          <w:rFonts w:ascii="Tahoma" w:hAnsi="Tahoma" w:cs="Tahoma"/>
          <w:b/>
          <w:color w:val="365F91" w:themeColor="accent1" w:themeShade="BF"/>
          <w:kern w:val="20"/>
        </w:rPr>
        <w:t>° ………………………………………</w:t>
      </w:r>
    </w:p>
    <w:p w14:paraId="06CF2821" w14:textId="77777777" w:rsidR="00E27274" w:rsidRPr="00AC681E" w:rsidRDefault="00E27274" w:rsidP="007C3FCF">
      <w:pPr>
        <w:pBdr>
          <w:top w:val="single" w:sz="4" w:space="1" w:color="auto"/>
          <w:left w:val="single" w:sz="4" w:space="4"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p>
    <w:p w14:paraId="06CF2824" w14:textId="1D2C0885" w:rsidR="00C525EC" w:rsidRDefault="007C3FCF" w:rsidP="007C3FCF">
      <w:pPr>
        <w:pBdr>
          <w:top w:val="single" w:sz="4" w:space="1" w:color="auto"/>
          <w:left w:val="single" w:sz="4" w:space="4" w:color="auto"/>
          <w:bottom w:val="single" w:sz="4" w:space="1" w:color="auto"/>
          <w:right w:val="single" w:sz="4" w:space="4" w:color="auto"/>
        </w:pBdr>
        <w:tabs>
          <w:tab w:val="left" w:pos="4820"/>
        </w:tabs>
        <w:spacing w:after="0" w:line="240" w:lineRule="auto"/>
        <w:ind w:left="4536"/>
        <w:jc w:val="center"/>
        <w:rPr>
          <w:rFonts w:ascii="Tahoma" w:hAnsi="Tahoma" w:cs="Tahoma"/>
          <w:b/>
          <w:color w:val="365F91" w:themeColor="accent1" w:themeShade="BF"/>
          <w:kern w:val="20"/>
          <w:sz w:val="24"/>
          <w:szCs w:val="22"/>
          <w:u w:val="single"/>
        </w:rPr>
      </w:pPr>
      <w:r>
        <w:rPr>
          <w:rFonts w:ascii="Tahoma" w:hAnsi="Tahoma" w:cs="Tahoma"/>
          <w:b/>
          <w:color w:val="365F91" w:themeColor="accent1" w:themeShade="BF"/>
          <w:kern w:val="20"/>
          <w:sz w:val="24"/>
          <w:szCs w:val="22"/>
          <w:u w:val="single"/>
        </w:rPr>
        <w:t xml:space="preserve">Instaurant le forfait mobilité durable </w:t>
      </w:r>
    </w:p>
    <w:p w14:paraId="281C0C04" w14:textId="77777777" w:rsidR="002440DE" w:rsidRPr="002440DE" w:rsidRDefault="002440DE" w:rsidP="007C3FCF">
      <w:pPr>
        <w:pBdr>
          <w:top w:val="single" w:sz="4" w:space="1" w:color="auto"/>
          <w:left w:val="single" w:sz="4" w:space="4" w:color="auto"/>
          <w:bottom w:val="single" w:sz="4" w:space="1" w:color="auto"/>
          <w:right w:val="single" w:sz="4" w:space="4" w:color="auto"/>
        </w:pBdr>
        <w:tabs>
          <w:tab w:val="left" w:pos="4820"/>
        </w:tabs>
        <w:spacing w:after="0" w:line="240" w:lineRule="auto"/>
        <w:ind w:left="4536"/>
        <w:jc w:val="center"/>
        <w:rPr>
          <w:rFonts w:ascii="Tahoma" w:hAnsi="Tahoma" w:cs="Tahoma"/>
          <w:color w:val="365F91" w:themeColor="accent1" w:themeShade="BF"/>
          <w:kern w:val="20"/>
          <w:sz w:val="24"/>
          <w:szCs w:val="22"/>
          <w:u w:val="single"/>
        </w:rPr>
      </w:pPr>
    </w:p>
    <w:p w14:paraId="06CF2825" w14:textId="21FF6A69" w:rsidR="00E27274" w:rsidRPr="00DC3775" w:rsidRDefault="00E27274" w:rsidP="00A448C7">
      <w:pPr>
        <w:spacing w:after="0" w:line="240" w:lineRule="auto"/>
        <w:ind w:left="4275"/>
        <w:rPr>
          <w:rFonts w:ascii="Tahoma" w:hAnsi="Tahoma" w:cs="Tahoma"/>
          <w:caps/>
          <w:color w:val="5F497A"/>
          <w:kern w:val="20"/>
          <w:szCs w:val="22"/>
        </w:rPr>
      </w:pPr>
    </w:p>
    <w:p w14:paraId="06CF2826" w14:textId="3F20523B" w:rsidR="000617BC" w:rsidRPr="00DC3775" w:rsidRDefault="000617BC" w:rsidP="00A448C7">
      <w:pPr>
        <w:spacing w:after="0" w:line="240" w:lineRule="auto"/>
        <w:ind w:left="4275"/>
        <w:rPr>
          <w:rFonts w:ascii="Tahoma" w:hAnsi="Tahoma" w:cs="Tahoma"/>
          <w:caps/>
          <w:color w:val="5F497A"/>
          <w:kern w:val="20"/>
          <w:szCs w:val="22"/>
        </w:rPr>
      </w:pPr>
    </w:p>
    <w:p w14:paraId="06CF2827" w14:textId="05D3947D" w:rsidR="000617BC" w:rsidRPr="00DC3775" w:rsidRDefault="005B6050" w:rsidP="00A448C7">
      <w:pPr>
        <w:spacing w:after="0" w:line="240" w:lineRule="auto"/>
        <w:ind w:left="4275"/>
        <w:rPr>
          <w:rFonts w:ascii="Tahoma" w:hAnsi="Tahoma" w:cs="Tahoma"/>
          <w:caps/>
          <w:color w:val="5F497A"/>
          <w:kern w:val="20"/>
          <w:szCs w:val="22"/>
        </w:rPr>
      </w:pPr>
      <w:r>
        <w:rPr>
          <w:rFonts w:ascii="Tahoma" w:hAnsi="Tahoma" w:cs="Tahoma"/>
          <w:noProof/>
          <w:color w:val="365F91" w:themeColor="accent1" w:themeShade="BF"/>
          <w:kern w:val="20"/>
        </w:rPr>
        <mc:AlternateContent>
          <mc:Choice Requires="wps">
            <w:drawing>
              <wp:anchor distT="0" distB="0" distL="114300" distR="114300" simplePos="0" relativeHeight="251658242" behindDoc="0" locked="0" layoutInCell="1" allowOverlap="1" wp14:anchorId="06CF2875" wp14:editId="56975339">
                <wp:simplePos x="0" y="0"/>
                <wp:positionH relativeFrom="column">
                  <wp:posOffset>3288665</wp:posOffset>
                </wp:positionH>
                <wp:positionV relativeFrom="paragraph">
                  <wp:posOffset>146050</wp:posOffset>
                </wp:positionV>
                <wp:extent cx="2126615" cy="508000"/>
                <wp:effectExtent l="6350" t="4445" r="635" b="19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7" style="position:absolute;left:0;text-align:left;margin-left:258.95pt;margin-top:11.5pt;width:167.45pt;height:4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" fillcolor="#f2dbdb [661]" stroked="f">
                <v:textbo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8" w14:textId="20F425B3" w:rsidR="000617BC" w:rsidRPr="00DC3775" w:rsidRDefault="007C3FCF" w:rsidP="00A448C7">
      <w:pPr>
        <w:spacing w:after="0" w:line="240" w:lineRule="auto"/>
        <w:ind w:left="4275"/>
        <w:rPr>
          <w:rFonts w:ascii="Tahoma" w:hAnsi="Tahoma" w:cs="Tahoma"/>
          <w:caps/>
          <w:color w:val="5F497A"/>
          <w:kern w:val="20"/>
          <w:szCs w:val="22"/>
        </w:rPr>
      </w:pPr>
      <w:r>
        <w:rPr>
          <w:rFonts w:ascii="Tahoma" w:eastAsia="Calibri" w:hAnsi="Tahoma" w:cs="Tahoma"/>
          <w:noProof/>
          <w:color w:val="1F497D" w:themeColor="text2"/>
          <w:kern w:val="20"/>
          <w:szCs w:val="22"/>
        </w:rPr>
        <mc:AlternateContent>
          <mc:Choice Requires="wps">
            <w:drawing>
              <wp:anchor distT="0" distB="0" distL="114300" distR="114300" simplePos="0" relativeHeight="251658243" behindDoc="0" locked="0" layoutInCell="1" allowOverlap="1" wp14:anchorId="06CF2876" wp14:editId="32B28AFA">
                <wp:simplePos x="0" y="0"/>
                <wp:positionH relativeFrom="column">
                  <wp:posOffset>1489075</wp:posOffset>
                </wp:positionH>
                <wp:positionV relativeFrom="paragraph">
                  <wp:posOffset>12065</wp:posOffset>
                </wp:positionV>
                <wp:extent cx="1603375" cy="898525"/>
                <wp:effectExtent l="0" t="0" r="15875" b="1587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898525"/>
                        </a:xfrm>
                        <a:prstGeom prst="foldedCorner">
                          <a:avLst>
                            <a:gd name="adj" fmla="val 12500"/>
                          </a:avLst>
                        </a:prstGeom>
                        <a:solidFill>
                          <a:schemeClr val="bg1">
                            <a:lumMod val="95000"/>
                            <a:lumOff val="0"/>
                          </a:schemeClr>
                        </a:solidFill>
                        <a:ln w="3175">
                          <a:solidFill>
                            <a:schemeClr val="bg1">
                              <a:lumMod val="75000"/>
                              <a:lumOff val="0"/>
                            </a:schemeClr>
                          </a:solidFill>
                          <a:round/>
                          <a:headEnd/>
                          <a:tailEnd/>
                        </a:ln>
                      </wps:spPr>
                      <wps:txbx>
                        <w:txbxContent>
                          <w:p w14:paraId="06CF288C" w14:textId="65EAB1DC" w:rsidR="00A924F9" w:rsidRPr="00DC3775" w:rsidRDefault="002B02B4"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Pr>
                                <w:rFonts w:ascii="Tahoma" w:hAnsi="Tahoma" w:cs="Tahoma"/>
                                <w:i/>
                                <w:color w:val="00B0F0"/>
                                <w:sz w:val="18"/>
                                <w:szCs w:val="18"/>
                              </w:rPr>
                              <w:t xml:space="preserve"> </w:t>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F28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8" type="#_x0000_t65" style="position:absolute;left:0;text-align:left;margin-left:117.25pt;margin-top:.95pt;width:126.25pt;height:7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" fillcolor="#f2f2f2 [3052]" strokecolor="#bfbfbf [2412]" strokeweight=".25pt">
                <v:textbox>
                  <w:txbxContent>
                    <w:p w14:paraId="06CF288C" w14:textId="65EAB1DC" w:rsidR="00A924F9" w:rsidRPr="00DC3775" w:rsidRDefault="002B02B4"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Pr>
                          <w:rFonts w:ascii="Tahoma" w:hAnsi="Tahoma" w:cs="Tahoma"/>
                          <w:i/>
                          <w:color w:val="00B0F0"/>
                          <w:sz w:val="18"/>
                          <w:szCs w:val="18"/>
                        </w:rPr>
                        <w:t xml:space="preserve"> </w:t>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v:textbox>
              </v:shape>
            </w:pict>
          </mc:Fallback>
        </mc:AlternateContent>
      </w:r>
    </w:p>
    <w:p w14:paraId="06CF2829" w14:textId="77777777" w:rsidR="00AC681E" w:rsidRDefault="00AC681E" w:rsidP="00A448C7">
      <w:pPr>
        <w:spacing w:after="0" w:line="240" w:lineRule="auto"/>
        <w:outlineLvl w:val="0"/>
        <w:rPr>
          <w:rFonts w:ascii="Tahoma" w:hAnsi="Tahoma" w:cs="Tahoma"/>
          <w:color w:val="365F91" w:themeColor="accent1" w:themeShade="BF"/>
          <w:kern w:val="20"/>
        </w:rPr>
      </w:pPr>
    </w:p>
    <w:p w14:paraId="06CF282A" w14:textId="77777777" w:rsidR="00AC681E" w:rsidRDefault="00AC681E" w:rsidP="00A448C7">
      <w:pPr>
        <w:spacing w:after="0" w:line="240" w:lineRule="auto"/>
        <w:outlineLvl w:val="0"/>
        <w:rPr>
          <w:rFonts w:ascii="Tahoma" w:hAnsi="Tahoma" w:cs="Tahoma"/>
          <w:color w:val="365F91" w:themeColor="accent1" w:themeShade="BF"/>
          <w:kern w:val="20"/>
        </w:rPr>
      </w:pPr>
    </w:p>
    <w:p w14:paraId="06CF282B" w14:textId="77777777" w:rsidR="00AC681E" w:rsidRDefault="00AC681E" w:rsidP="00A448C7">
      <w:pPr>
        <w:spacing w:after="0" w:line="240" w:lineRule="auto"/>
        <w:outlineLvl w:val="0"/>
        <w:rPr>
          <w:rFonts w:ascii="Tahoma" w:hAnsi="Tahoma" w:cs="Tahoma"/>
          <w:color w:val="365F91" w:themeColor="accent1" w:themeShade="BF"/>
          <w:kern w:val="20"/>
        </w:rPr>
      </w:pPr>
    </w:p>
    <w:p w14:paraId="06CF282C" w14:textId="77777777" w:rsidR="00AC681E" w:rsidRDefault="00AC681E" w:rsidP="00A448C7">
      <w:pPr>
        <w:spacing w:after="0" w:line="240" w:lineRule="auto"/>
        <w:outlineLvl w:val="0"/>
        <w:rPr>
          <w:rFonts w:ascii="Tahoma" w:hAnsi="Tahoma" w:cs="Tahoma"/>
          <w:color w:val="365F91" w:themeColor="accent1" w:themeShade="BF"/>
          <w:kern w:val="20"/>
        </w:rPr>
      </w:pPr>
    </w:p>
    <w:p w14:paraId="06CF282D" w14:textId="492AE08E" w:rsidR="00AC681E" w:rsidRDefault="00AC681E" w:rsidP="00A448C7">
      <w:pPr>
        <w:spacing w:after="0" w:line="240" w:lineRule="auto"/>
        <w:outlineLvl w:val="0"/>
        <w:rPr>
          <w:rFonts w:ascii="Tahoma" w:hAnsi="Tahoma" w:cs="Tahoma"/>
          <w:color w:val="365F91" w:themeColor="accent1" w:themeShade="BF"/>
          <w:kern w:val="20"/>
        </w:rPr>
      </w:pPr>
    </w:p>
    <w:p w14:paraId="0CF5791D" w14:textId="77777777" w:rsidR="0032380E" w:rsidRDefault="0032380E" w:rsidP="00A448C7">
      <w:pPr>
        <w:spacing w:after="0" w:line="240" w:lineRule="auto"/>
        <w:outlineLvl w:val="0"/>
        <w:rPr>
          <w:rFonts w:ascii="Tahoma" w:hAnsi="Tahoma" w:cs="Tahoma"/>
          <w:color w:val="365F91" w:themeColor="accent1" w:themeShade="BF"/>
          <w:kern w:val="20"/>
        </w:rPr>
      </w:pPr>
    </w:p>
    <w:p w14:paraId="260D1494" w14:textId="77777777" w:rsidR="006976DF" w:rsidRPr="006976DF" w:rsidRDefault="006976DF" w:rsidP="006976DF">
      <w:pPr>
        <w:spacing w:line="240" w:lineRule="auto"/>
        <w:outlineLvl w:val="0"/>
        <w:rPr>
          <w:rFonts w:ascii="Tahoma" w:hAnsi="Tahoma" w:cs="Tahoma"/>
          <w:bCs/>
          <w:color w:val="365F91" w:themeColor="accent1" w:themeShade="BF"/>
          <w:kern w:val="20"/>
          <w:sz w:val="20"/>
        </w:rPr>
      </w:pPr>
      <w:r w:rsidRPr="006976DF">
        <w:rPr>
          <w:rFonts w:ascii="Tahoma" w:hAnsi="Tahoma" w:cs="Tahoma"/>
          <w:b/>
          <w:color w:val="365F91" w:themeColor="accent1" w:themeShade="BF"/>
          <w:kern w:val="20"/>
          <w:sz w:val="20"/>
        </w:rPr>
        <w:t xml:space="preserve">Vu </w:t>
      </w:r>
      <w:r w:rsidRPr="006976DF">
        <w:rPr>
          <w:rFonts w:ascii="Tahoma" w:hAnsi="Tahoma" w:cs="Tahoma"/>
          <w:bCs/>
          <w:color w:val="365F91" w:themeColor="accent1" w:themeShade="BF"/>
          <w:kern w:val="20"/>
          <w:sz w:val="20"/>
        </w:rPr>
        <w:t>le Code Général des Collectivités Territoriales,</w:t>
      </w:r>
    </w:p>
    <w:p w14:paraId="5EDB4B01" w14:textId="20F7E5D7" w:rsidR="006976DF" w:rsidRPr="006976DF" w:rsidRDefault="006976DF" w:rsidP="006976DF">
      <w:pPr>
        <w:spacing w:line="240" w:lineRule="auto"/>
        <w:outlineLvl w:val="0"/>
        <w:rPr>
          <w:rFonts w:ascii="Tahoma" w:hAnsi="Tahoma" w:cs="Tahoma"/>
          <w:b/>
          <w:color w:val="365F91" w:themeColor="accent1" w:themeShade="BF"/>
          <w:kern w:val="20"/>
          <w:sz w:val="20"/>
        </w:rPr>
      </w:pPr>
      <w:r w:rsidRPr="006976DF">
        <w:rPr>
          <w:rFonts w:ascii="Tahoma" w:hAnsi="Tahoma" w:cs="Tahoma"/>
          <w:b/>
          <w:color w:val="365F91" w:themeColor="accent1" w:themeShade="BF"/>
          <w:kern w:val="20"/>
          <w:sz w:val="20"/>
        </w:rPr>
        <w:t xml:space="preserve">Vu </w:t>
      </w:r>
      <w:r w:rsidRPr="006976DF">
        <w:rPr>
          <w:rFonts w:ascii="Tahoma" w:hAnsi="Tahoma" w:cs="Tahoma"/>
          <w:bCs/>
          <w:color w:val="365F91" w:themeColor="accent1" w:themeShade="BF"/>
          <w:kern w:val="20"/>
          <w:sz w:val="20"/>
        </w:rPr>
        <w:t>le Code Général de la Fonction Publique,</w:t>
      </w:r>
      <w:r>
        <w:rPr>
          <w:rFonts w:ascii="Tahoma" w:hAnsi="Tahoma" w:cs="Tahoma"/>
          <w:bCs/>
          <w:color w:val="365F91" w:themeColor="accent1" w:themeShade="BF"/>
          <w:kern w:val="20"/>
          <w:sz w:val="20"/>
        </w:rPr>
        <w:t xml:space="preserve"> </w:t>
      </w:r>
    </w:p>
    <w:p w14:paraId="3C8A0252" w14:textId="06CE344A" w:rsidR="0032380E" w:rsidRDefault="0032380E" w:rsidP="0032380E">
      <w:pPr>
        <w:spacing w:line="240" w:lineRule="auto"/>
        <w:outlineLvl w:val="0"/>
        <w:rPr>
          <w:rFonts w:ascii="Tahoma" w:hAnsi="Tahoma" w:cs="Tahoma"/>
          <w:color w:val="365F91" w:themeColor="accent1" w:themeShade="BF"/>
          <w:kern w:val="20"/>
          <w:sz w:val="20"/>
        </w:rPr>
      </w:pPr>
      <w:r>
        <w:rPr>
          <w:rFonts w:ascii="Tahoma" w:hAnsi="Tahoma" w:cs="Tahoma"/>
          <w:b/>
          <w:color w:val="365F91" w:themeColor="accent1" w:themeShade="BF"/>
          <w:kern w:val="20"/>
          <w:sz w:val="20"/>
        </w:rPr>
        <w:t>Vu</w:t>
      </w:r>
      <w:r>
        <w:rPr>
          <w:rFonts w:ascii="Tahoma" w:hAnsi="Tahoma" w:cs="Tahoma"/>
          <w:color w:val="365F91" w:themeColor="accent1" w:themeShade="BF"/>
          <w:kern w:val="20"/>
          <w:sz w:val="20"/>
        </w:rPr>
        <w:t xml:space="preserve"> le Code du travail, notamment son article L3261-1,</w:t>
      </w:r>
    </w:p>
    <w:p w14:paraId="2FB8A9CA" w14:textId="67EC38A4" w:rsidR="00DE45E4" w:rsidRPr="0032380E" w:rsidRDefault="00DE45E4" w:rsidP="0032380E">
      <w:pPr>
        <w:spacing w:line="240" w:lineRule="auto"/>
        <w:outlineLvl w:val="0"/>
        <w:rPr>
          <w:rFonts w:ascii="Tahoma" w:hAnsi="Tahoma" w:cs="Tahoma"/>
          <w:color w:val="365F91" w:themeColor="accent1" w:themeShade="BF"/>
          <w:kern w:val="20"/>
          <w:sz w:val="20"/>
        </w:rPr>
      </w:pPr>
      <w:r w:rsidRPr="00DE45E4">
        <w:rPr>
          <w:rFonts w:ascii="Tahoma" w:hAnsi="Tahoma" w:cs="Tahoma"/>
          <w:b/>
          <w:color w:val="365F91" w:themeColor="accent1" w:themeShade="BF"/>
          <w:kern w:val="20"/>
          <w:sz w:val="20"/>
        </w:rPr>
        <w:t>Vu</w:t>
      </w:r>
      <w:r>
        <w:rPr>
          <w:rFonts w:ascii="Tahoma" w:hAnsi="Tahoma" w:cs="Tahoma"/>
          <w:color w:val="365F91" w:themeColor="accent1" w:themeShade="BF"/>
          <w:kern w:val="20"/>
          <w:sz w:val="20"/>
        </w:rPr>
        <w:t xml:space="preserve"> le d</w:t>
      </w:r>
      <w:r w:rsidRPr="00DE45E4">
        <w:rPr>
          <w:rFonts w:ascii="Tahoma" w:hAnsi="Tahoma" w:cs="Tahoma"/>
          <w:color w:val="365F91" w:themeColor="accent1" w:themeShade="BF"/>
          <w:kern w:val="20"/>
          <w:sz w:val="20"/>
        </w:rPr>
        <w:t>écret n° 2020-1547 du 9 décembre 2020 relatif au versement du « forfait mobilités durables » dans la fonction publique territoriale</w:t>
      </w:r>
      <w:r>
        <w:rPr>
          <w:rFonts w:ascii="Tahoma" w:hAnsi="Tahoma" w:cs="Tahoma"/>
          <w:color w:val="365F91" w:themeColor="accent1" w:themeShade="BF"/>
          <w:kern w:val="20"/>
          <w:sz w:val="20"/>
        </w:rPr>
        <w:t>,</w:t>
      </w:r>
    </w:p>
    <w:p w14:paraId="23D34675" w14:textId="6C45E3E9" w:rsidR="004F2F68" w:rsidRDefault="0032380E" w:rsidP="006154B9">
      <w:pPr>
        <w:spacing w:line="240" w:lineRule="auto"/>
        <w:outlineLvl w:val="0"/>
        <w:rPr>
          <w:rFonts w:ascii="Tahoma" w:hAnsi="Tahoma" w:cs="Tahoma"/>
          <w:color w:val="365F91" w:themeColor="accent1" w:themeShade="BF"/>
          <w:kern w:val="20"/>
          <w:sz w:val="20"/>
        </w:rPr>
      </w:pPr>
      <w:r>
        <w:rPr>
          <w:rFonts w:ascii="Tahoma" w:hAnsi="Tahoma" w:cs="Tahoma"/>
          <w:b/>
          <w:color w:val="365F91" w:themeColor="accent1" w:themeShade="BF"/>
          <w:kern w:val="20"/>
          <w:sz w:val="20"/>
        </w:rPr>
        <w:t xml:space="preserve">Vu </w:t>
      </w:r>
      <w:r>
        <w:rPr>
          <w:rFonts w:ascii="Tahoma" w:hAnsi="Tahoma" w:cs="Tahoma"/>
          <w:color w:val="365F91" w:themeColor="accent1" w:themeShade="BF"/>
          <w:kern w:val="20"/>
          <w:sz w:val="20"/>
        </w:rPr>
        <w:t xml:space="preserve">le décret n°2020-676 </w:t>
      </w:r>
      <w:r w:rsidRPr="0032380E">
        <w:rPr>
          <w:rFonts w:ascii="Tahoma" w:hAnsi="Tahoma" w:cs="Tahoma"/>
          <w:color w:val="365F91" w:themeColor="accent1" w:themeShade="BF"/>
          <w:kern w:val="20"/>
          <w:sz w:val="20"/>
        </w:rPr>
        <w:t>du 21 juin 2010 instituant une prise en charge partielle du prix des titres d'abonnement correspondant aux déplacements effectués par les agents publics entre leur résidence habituelle et leur lieu de travail</w:t>
      </w:r>
      <w:r>
        <w:rPr>
          <w:rFonts w:ascii="Tahoma" w:hAnsi="Tahoma" w:cs="Tahoma"/>
          <w:color w:val="365F91" w:themeColor="accent1" w:themeShade="BF"/>
          <w:kern w:val="20"/>
          <w:sz w:val="20"/>
        </w:rPr>
        <w:t>,</w:t>
      </w:r>
    </w:p>
    <w:p w14:paraId="504556E8" w14:textId="179AC1CD" w:rsidR="00DE45E4" w:rsidRPr="007B4C69" w:rsidRDefault="00DE45E4" w:rsidP="006154B9">
      <w:pPr>
        <w:spacing w:line="240" w:lineRule="auto"/>
        <w:outlineLvl w:val="0"/>
        <w:rPr>
          <w:rFonts w:ascii="Tahoma" w:hAnsi="Tahoma" w:cs="Tahoma"/>
          <w:color w:val="365F91" w:themeColor="accent1" w:themeShade="BF"/>
          <w:kern w:val="20"/>
          <w:sz w:val="20"/>
        </w:rPr>
      </w:pPr>
      <w:r w:rsidRPr="00DE45E4">
        <w:rPr>
          <w:rFonts w:ascii="Tahoma" w:hAnsi="Tahoma" w:cs="Tahoma"/>
          <w:b/>
          <w:color w:val="365F91" w:themeColor="accent1" w:themeShade="BF"/>
          <w:kern w:val="20"/>
          <w:sz w:val="20"/>
        </w:rPr>
        <w:t>Vu</w:t>
      </w:r>
      <w:r>
        <w:rPr>
          <w:rFonts w:ascii="Tahoma" w:hAnsi="Tahoma" w:cs="Tahoma"/>
          <w:color w:val="365F91" w:themeColor="accent1" w:themeShade="BF"/>
          <w:kern w:val="20"/>
          <w:sz w:val="20"/>
        </w:rPr>
        <w:t xml:space="preserve"> l’a</w:t>
      </w:r>
      <w:r w:rsidRPr="00DE45E4">
        <w:rPr>
          <w:rFonts w:ascii="Tahoma" w:hAnsi="Tahoma" w:cs="Tahoma"/>
          <w:color w:val="365F91" w:themeColor="accent1" w:themeShade="BF"/>
          <w:kern w:val="20"/>
          <w:sz w:val="20"/>
        </w:rPr>
        <w:t>rrêté du 9 mai 2020 pris pour l'application du décret n° 2020-543 du 9 mai 2020 relatif au versement du « forfait mobilités durables » dans la fonction publique de l'Etat</w:t>
      </w:r>
      <w:r>
        <w:rPr>
          <w:rFonts w:ascii="Tahoma" w:hAnsi="Tahoma" w:cs="Tahoma"/>
          <w:color w:val="365F91" w:themeColor="accent1" w:themeShade="BF"/>
          <w:kern w:val="20"/>
          <w:sz w:val="20"/>
        </w:rPr>
        <w:t>.</w:t>
      </w:r>
    </w:p>
    <w:p w14:paraId="4BF655AD" w14:textId="77777777" w:rsidR="002670C7" w:rsidRPr="007B4C69" w:rsidRDefault="002670C7" w:rsidP="00A448C7">
      <w:pPr>
        <w:spacing w:after="0" w:line="240" w:lineRule="auto"/>
        <w:outlineLvl w:val="0"/>
        <w:rPr>
          <w:rFonts w:ascii="Tahoma" w:hAnsi="Tahoma" w:cs="Tahoma"/>
          <w:color w:val="365F91" w:themeColor="accent1" w:themeShade="BF"/>
          <w:kern w:val="20"/>
          <w:sz w:val="20"/>
        </w:rPr>
      </w:pPr>
    </w:p>
    <w:p w14:paraId="52AD2016" w14:textId="661EDE9B" w:rsidR="00A82D77" w:rsidRPr="007B4C69" w:rsidRDefault="00A82D77" w:rsidP="00A448C7">
      <w:pPr>
        <w:spacing w:after="0" w:line="240" w:lineRule="auto"/>
        <w:outlineLvl w:val="0"/>
        <w:rPr>
          <w:rFonts w:ascii="Tahoma" w:hAnsi="Tahoma" w:cs="Tahoma"/>
          <w:b/>
          <w:color w:val="365F91" w:themeColor="accent1" w:themeShade="BF"/>
          <w:kern w:val="20"/>
          <w:sz w:val="20"/>
        </w:rPr>
      </w:pPr>
      <w:r w:rsidRPr="007B4C69">
        <w:rPr>
          <w:rFonts w:ascii="Tahoma" w:hAnsi="Tahoma" w:cs="Tahoma"/>
          <w:b/>
          <w:color w:val="365F91" w:themeColor="accent1" w:themeShade="BF"/>
          <w:kern w:val="20"/>
          <w:sz w:val="20"/>
        </w:rPr>
        <w:t>Considérant ce qui suit :</w:t>
      </w:r>
    </w:p>
    <w:p w14:paraId="2962B149" w14:textId="77777777" w:rsidR="006154B9" w:rsidRPr="007B4C69" w:rsidRDefault="006154B9" w:rsidP="006154B9">
      <w:pPr>
        <w:spacing w:after="0" w:line="240" w:lineRule="auto"/>
        <w:outlineLvl w:val="0"/>
        <w:rPr>
          <w:rFonts w:ascii="Tahoma" w:hAnsi="Tahoma" w:cs="Tahoma"/>
          <w:color w:val="365F91" w:themeColor="accent1" w:themeShade="BF"/>
          <w:kern w:val="20"/>
          <w:sz w:val="20"/>
        </w:rPr>
      </w:pPr>
    </w:p>
    <w:p w14:paraId="32CE020F" w14:textId="27E38F76" w:rsidR="006F479D" w:rsidRDefault="006F479D" w:rsidP="007B2533">
      <w:pPr>
        <w:rPr>
          <w:rFonts w:ascii="Tahoma" w:hAnsi="Tahoma" w:cs="Tahoma"/>
          <w:color w:val="365F91" w:themeColor="accent1" w:themeShade="BF"/>
          <w:sz w:val="20"/>
        </w:rPr>
      </w:pPr>
      <w:bookmarkStart w:id="0" w:name="_Hlk84330749"/>
      <w:r>
        <w:rPr>
          <w:rFonts w:ascii="Tahoma" w:hAnsi="Tahoma" w:cs="Tahoma"/>
          <w:color w:val="365F91" w:themeColor="accent1" w:themeShade="BF"/>
          <w:sz w:val="20"/>
        </w:rPr>
        <w:t>L</w:t>
      </w:r>
      <w:r w:rsidRPr="006F479D">
        <w:rPr>
          <w:rFonts w:ascii="Tahoma" w:hAnsi="Tahoma" w:cs="Tahoma"/>
          <w:color w:val="365F91" w:themeColor="accent1" w:themeShade="BF"/>
          <w:sz w:val="20"/>
        </w:rPr>
        <w:t>e « forfait mobilités durables », d’abord instauré dans le secteur privé, a pour objectif d’encourager les travailleurs à recourir davantage aux modes de transport durables que sont le vélo et l’autopartage pour la réalisation des trajets domicile-travail.</w:t>
      </w:r>
    </w:p>
    <w:p w14:paraId="1B97DF63" w14:textId="033E31F2" w:rsidR="00341BF1" w:rsidRDefault="00341BF1" w:rsidP="007B2533">
      <w:pPr>
        <w:rPr>
          <w:rFonts w:ascii="Tahoma" w:hAnsi="Tahoma" w:cs="Tahoma"/>
          <w:color w:val="365F91" w:themeColor="accent1" w:themeShade="BF"/>
          <w:sz w:val="20"/>
        </w:rPr>
      </w:pPr>
      <w:r>
        <w:rPr>
          <w:rFonts w:ascii="Tahoma" w:hAnsi="Tahoma" w:cs="Tahoma"/>
          <w:color w:val="365F91" w:themeColor="accent1" w:themeShade="BF"/>
          <w:sz w:val="20"/>
        </w:rPr>
        <w:t>Le « forfait mobilité durable » consiste en une prise en charge de l’employeur, en tout ou partie, des frais engagés par ses agents se déplaçant entre leur résidence habituelle et leur lieu de travail :</w:t>
      </w:r>
    </w:p>
    <w:p w14:paraId="549BCD71" w14:textId="77777777" w:rsidR="00DE45E4" w:rsidRPr="00DE45E4" w:rsidRDefault="00DE45E4" w:rsidP="00DE45E4">
      <w:pPr>
        <w:numPr>
          <w:ilvl w:val="1"/>
          <w:numId w:val="32"/>
        </w:numPr>
        <w:rPr>
          <w:rFonts w:ascii="Tahoma" w:hAnsi="Tahoma" w:cs="Tahoma"/>
          <w:color w:val="365F91" w:themeColor="accent1" w:themeShade="BF"/>
          <w:sz w:val="20"/>
        </w:rPr>
      </w:pPr>
      <w:r w:rsidRPr="00DE45E4">
        <w:rPr>
          <w:rFonts w:ascii="Tahoma" w:hAnsi="Tahoma" w:cs="Tahoma"/>
          <w:color w:val="365F91" w:themeColor="accent1" w:themeShade="BF"/>
          <w:sz w:val="20"/>
        </w:rPr>
        <w:t>À vélo ou à vélo à assistance électrique personnel, ou en engin personnel motorisé non thermique ;</w:t>
      </w:r>
    </w:p>
    <w:p w14:paraId="782538E5" w14:textId="77777777" w:rsidR="00DE45E4" w:rsidRPr="00DE45E4" w:rsidRDefault="00DE45E4" w:rsidP="00DE45E4">
      <w:pPr>
        <w:numPr>
          <w:ilvl w:val="1"/>
          <w:numId w:val="32"/>
        </w:numPr>
        <w:rPr>
          <w:rFonts w:ascii="Tahoma" w:hAnsi="Tahoma" w:cs="Tahoma"/>
          <w:color w:val="365F91" w:themeColor="accent1" w:themeShade="BF"/>
          <w:sz w:val="20"/>
        </w:rPr>
      </w:pPr>
      <w:r w:rsidRPr="00DE45E4">
        <w:rPr>
          <w:rFonts w:ascii="Tahoma" w:hAnsi="Tahoma" w:cs="Tahoma"/>
          <w:color w:val="365F91" w:themeColor="accent1" w:themeShade="BF"/>
          <w:sz w:val="20"/>
        </w:rPr>
        <w:t>En covoiturage, en tant que conducteur ou passager ;</w:t>
      </w:r>
    </w:p>
    <w:p w14:paraId="4704A905" w14:textId="77777777" w:rsidR="00DE45E4" w:rsidRPr="00DE45E4" w:rsidRDefault="00DE45E4" w:rsidP="00DE45E4">
      <w:pPr>
        <w:numPr>
          <w:ilvl w:val="1"/>
          <w:numId w:val="32"/>
        </w:numPr>
        <w:rPr>
          <w:rFonts w:ascii="Tahoma" w:hAnsi="Tahoma" w:cs="Tahoma"/>
          <w:color w:val="365F91" w:themeColor="accent1" w:themeShade="BF"/>
          <w:sz w:val="20"/>
        </w:rPr>
      </w:pPr>
      <w:r w:rsidRPr="00DE45E4">
        <w:rPr>
          <w:rFonts w:ascii="Tahoma" w:hAnsi="Tahoma" w:cs="Tahoma"/>
          <w:color w:val="365F91" w:themeColor="accent1" w:themeShade="BF"/>
          <w:sz w:val="20"/>
        </w:rPr>
        <w:t xml:space="preserve">En utilisant les services de mobilité partagée suivants : </w:t>
      </w:r>
    </w:p>
    <w:p w14:paraId="18D4FA2A" w14:textId="77777777" w:rsidR="00DE45E4" w:rsidRPr="00DE45E4" w:rsidRDefault="00DE45E4" w:rsidP="00DE45E4">
      <w:pPr>
        <w:numPr>
          <w:ilvl w:val="2"/>
          <w:numId w:val="32"/>
        </w:numPr>
        <w:rPr>
          <w:rFonts w:ascii="Tahoma" w:hAnsi="Tahoma" w:cs="Tahoma"/>
          <w:color w:val="365F91" w:themeColor="accent1" w:themeShade="BF"/>
          <w:sz w:val="20"/>
        </w:rPr>
      </w:pPr>
      <w:proofErr w:type="gramStart"/>
      <w:r w:rsidRPr="00DE45E4">
        <w:rPr>
          <w:rFonts w:ascii="Tahoma" w:hAnsi="Tahoma" w:cs="Tahoma"/>
          <w:color w:val="365F91" w:themeColor="accent1" w:themeShade="BF"/>
          <w:sz w:val="20"/>
        </w:rPr>
        <w:t>les</w:t>
      </w:r>
      <w:proofErr w:type="gramEnd"/>
      <w:r w:rsidRPr="00DE45E4">
        <w:rPr>
          <w:rFonts w:ascii="Tahoma" w:hAnsi="Tahoma" w:cs="Tahoma"/>
          <w:color w:val="365F91" w:themeColor="accent1" w:themeShade="BF"/>
          <w:sz w:val="20"/>
        </w:rPr>
        <w:t xml:space="preserve"> services de location ou de mise à disposition en libre-service de véhicules non thermiques, avec ou sans station d'attache et accessibles sur la voie publique ;</w:t>
      </w:r>
    </w:p>
    <w:p w14:paraId="3B422C6B" w14:textId="5ED93602" w:rsidR="00DE45E4" w:rsidRDefault="00DE45E4" w:rsidP="008077AC">
      <w:pPr>
        <w:numPr>
          <w:ilvl w:val="2"/>
          <w:numId w:val="32"/>
        </w:numPr>
        <w:rPr>
          <w:rFonts w:ascii="Tahoma" w:hAnsi="Tahoma" w:cs="Tahoma"/>
          <w:color w:val="365F91" w:themeColor="accent1" w:themeShade="BF"/>
          <w:sz w:val="20"/>
        </w:rPr>
      </w:pPr>
      <w:proofErr w:type="gramStart"/>
      <w:r w:rsidRPr="00DE45E4">
        <w:rPr>
          <w:rFonts w:ascii="Tahoma" w:hAnsi="Tahoma" w:cs="Tahoma"/>
          <w:color w:val="365F91" w:themeColor="accent1" w:themeShade="BF"/>
          <w:sz w:val="20"/>
        </w:rPr>
        <w:t>les</w:t>
      </w:r>
      <w:proofErr w:type="gramEnd"/>
      <w:r w:rsidRPr="00DE45E4">
        <w:rPr>
          <w:rFonts w:ascii="Tahoma" w:hAnsi="Tahoma" w:cs="Tahoma"/>
          <w:color w:val="365F91" w:themeColor="accent1" w:themeShade="BF"/>
          <w:sz w:val="20"/>
        </w:rPr>
        <w:t xml:space="preserve"> services d’autopartage de véhicules à faibles ou très faibles émissions.</w:t>
      </w:r>
    </w:p>
    <w:p w14:paraId="4DF9DB58" w14:textId="77777777" w:rsidR="008077AC" w:rsidRPr="008077AC" w:rsidRDefault="008077AC" w:rsidP="008077AC">
      <w:pPr>
        <w:ind w:left="2160"/>
        <w:rPr>
          <w:rFonts w:ascii="Tahoma" w:hAnsi="Tahoma" w:cs="Tahoma"/>
          <w:color w:val="365F91" w:themeColor="accent1" w:themeShade="BF"/>
          <w:sz w:val="20"/>
        </w:rPr>
      </w:pPr>
    </w:p>
    <w:p w14:paraId="3C87B6B7" w14:textId="0ABA0A6A" w:rsidR="00DE45E4" w:rsidRDefault="007B2533" w:rsidP="007B2533">
      <w:pPr>
        <w:rPr>
          <w:rFonts w:ascii="Tahoma" w:hAnsi="Tahoma" w:cs="Tahoma"/>
          <w:color w:val="365F91" w:themeColor="accent1" w:themeShade="BF"/>
          <w:sz w:val="20"/>
        </w:rPr>
      </w:pPr>
      <w:r w:rsidRPr="007B2533">
        <w:rPr>
          <w:rFonts w:ascii="Tahoma" w:hAnsi="Tahoma" w:cs="Tahoma"/>
          <w:color w:val="365F91" w:themeColor="accent1" w:themeShade="BF"/>
          <w:sz w:val="20"/>
        </w:rPr>
        <w:t xml:space="preserve">Il appartient à l'organe délibérant, conformément aux dispositions règlementaires énoncées ci-dessus, de </w:t>
      </w:r>
      <w:r w:rsidR="0031372B">
        <w:rPr>
          <w:rFonts w:ascii="Tahoma" w:hAnsi="Tahoma" w:cs="Tahoma"/>
          <w:color w:val="365F91" w:themeColor="accent1" w:themeShade="BF"/>
          <w:sz w:val="20"/>
        </w:rPr>
        <w:t>décid</w:t>
      </w:r>
      <w:r w:rsidR="00341BF1">
        <w:rPr>
          <w:rFonts w:ascii="Tahoma" w:hAnsi="Tahoma" w:cs="Tahoma"/>
          <w:color w:val="365F91" w:themeColor="accent1" w:themeShade="BF"/>
          <w:sz w:val="20"/>
        </w:rPr>
        <w:t xml:space="preserve">er </w:t>
      </w:r>
      <w:r w:rsidRPr="007B2533">
        <w:rPr>
          <w:rFonts w:ascii="Tahoma" w:hAnsi="Tahoma" w:cs="Tahoma"/>
          <w:color w:val="365F91" w:themeColor="accent1" w:themeShade="BF"/>
          <w:sz w:val="20"/>
        </w:rPr>
        <w:t>par délibération,</w:t>
      </w:r>
      <w:r>
        <w:rPr>
          <w:rFonts w:ascii="Tahoma" w:hAnsi="Tahoma" w:cs="Tahoma"/>
          <w:color w:val="365F91" w:themeColor="accent1" w:themeShade="BF"/>
          <w:sz w:val="20"/>
        </w:rPr>
        <w:t xml:space="preserve"> </w:t>
      </w:r>
      <w:r w:rsidR="0031372B" w:rsidRPr="0031372B">
        <w:rPr>
          <w:rFonts w:ascii="Tahoma" w:hAnsi="Tahoma" w:cs="Tahoma"/>
          <w:color w:val="365F91" w:themeColor="accent1" w:themeShade="BF"/>
          <w:sz w:val="20"/>
        </w:rPr>
        <w:t>de mettre en place et de déterminer les modalités d’octroi du « forfait mobilités durables »</w:t>
      </w:r>
      <w:r w:rsidR="00341BF1">
        <w:rPr>
          <w:rFonts w:ascii="Tahoma" w:hAnsi="Tahoma" w:cs="Tahoma"/>
          <w:color w:val="365F91" w:themeColor="accent1" w:themeShade="BF"/>
          <w:sz w:val="20"/>
        </w:rPr>
        <w:t>.</w:t>
      </w:r>
    </w:p>
    <w:p w14:paraId="49E32112" w14:textId="77777777" w:rsidR="00DE45E4"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 xml:space="preserve">Le montant du « forfait mobilités durables » </w:t>
      </w:r>
      <w:r>
        <w:rPr>
          <w:rFonts w:ascii="Tahoma" w:hAnsi="Tahoma" w:cs="Tahoma"/>
          <w:color w:val="365F91" w:themeColor="accent1" w:themeShade="BF"/>
          <w:kern w:val="20"/>
          <w:sz w:val="20"/>
        </w:rPr>
        <w:t xml:space="preserve">est fixé par référence à l’arrêté définissant son montant, et évolue en fonction de la règlementation. Il dépend du nombre de jours d’utilisation d’un mode de </w:t>
      </w:r>
      <w:r>
        <w:rPr>
          <w:rFonts w:ascii="Tahoma" w:hAnsi="Tahoma" w:cs="Tahoma"/>
          <w:color w:val="365F91" w:themeColor="accent1" w:themeShade="BF"/>
          <w:kern w:val="20"/>
          <w:sz w:val="20"/>
        </w:rPr>
        <w:lastRenderedPageBreak/>
        <w:t>déplacement éligible au forfait au cours de l’année civile. A la date de l’adoption de la présente délibération, il est de :</w:t>
      </w:r>
    </w:p>
    <w:p w14:paraId="29788555" w14:textId="77777777" w:rsidR="00DE45E4" w:rsidRPr="00DE45E4" w:rsidRDefault="00DE45E4" w:rsidP="00DE45E4">
      <w:pPr>
        <w:numPr>
          <w:ilvl w:val="0"/>
          <w:numId w:val="33"/>
        </w:numPr>
        <w:spacing w:after="0" w:line="240" w:lineRule="auto"/>
        <w:rPr>
          <w:rFonts w:ascii="Tahoma" w:hAnsi="Tahoma" w:cs="Tahoma"/>
          <w:color w:val="365F91" w:themeColor="accent1" w:themeShade="BF"/>
          <w:kern w:val="20"/>
          <w:sz w:val="20"/>
        </w:rPr>
      </w:pPr>
      <w:r w:rsidRPr="00DE45E4">
        <w:rPr>
          <w:rFonts w:ascii="Tahoma" w:hAnsi="Tahoma" w:cs="Tahoma"/>
          <w:bCs/>
          <w:color w:val="365F91" w:themeColor="accent1" w:themeShade="BF"/>
          <w:kern w:val="20"/>
          <w:sz w:val="20"/>
        </w:rPr>
        <w:t>100 €</w:t>
      </w:r>
      <w:r w:rsidRPr="00DE45E4">
        <w:rPr>
          <w:rFonts w:ascii="Tahoma" w:hAnsi="Tahoma" w:cs="Tahoma"/>
          <w:color w:val="365F91" w:themeColor="accent1" w:themeShade="BF"/>
          <w:kern w:val="20"/>
          <w:sz w:val="20"/>
        </w:rPr>
        <w:t xml:space="preserve"> lorsque l'utilisation est comprise </w:t>
      </w:r>
      <w:r w:rsidRPr="00DE45E4">
        <w:rPr>
          <w:rFonts w:ascii="Tahoma" w:hAnsi="Tahoma" w:cs="Tahoma"/>
          <w:bCs/>
          <w:color w:val="365F91" w:themeColor="accent1" w:themeShade="BF"/>
          <w:kern w:val="20"/>
          <w:sz w:val="20"/>
        </w:rPr>
        <w:t>entre 30 et 59 jours</w:t>
      </w:r>
      <w:r w:rsidRPr="00DE45E4">
        <w:rPr>
          <w:rFonts w:ascii="Tahoma" w:hAnsi="Tahoma" w:cs="Tahoma"/>
          <w:color w:val="365F91" w:themeColor="accent1" w:themeShade="BF"/>
          <w:kern w:val="20"/>
          <w:sz w:val="20"/>
        </w:rPr>
        <w:t> ;</w:t>
      </w:r>
    </w:p>
    <w:p w14:paraId="0F9FE6E6" w14:textId="77777777" w:rsidR="00DE45E4" w:rsidRPr="00DE45E4" w:rsidRDefault="00DE45E4" w:rsidP="00DE45E4">
      <w:pPr>
        <w:numPr>
          <w:ilvl w:val="0"/>
          <w:numId w:val="33"/>
        </w:numPr>
        <w:spacing w:after="0" w:line="240" w:lineRule="auto"/>
        <w:rPr>
          <w:rFonts w:ascii="Tahoma" w:hAnsi="Tahoma" w:cs="Tahoma"/>
          <w:color w:val="365F91" w:themeColor="accent1" w:themeShade="BF"/>
          <w:kern w:val="20"/>
          <w:sz w:val="20"/>
        </w:rPr>
      </w:pPr>
      <w:r w:rsidRPr="00DE45E4">
        <w:rPr>
          <w:rFonts w:ascii="Tahoma" w:hAnsi="Tahoma" w:cs="Tahoma"/>
          <w:bCs/>
          <w:color w:val="365F91" w:themeColor="accent1" w:themeShade="BF"/>
          <w:kern w:val="20"/>
          <w:sz w:val="20"/>
        </w:rPr>
        <w:t>200 €</w:t>
      </w:r>
      <w:r w:rsidRPr="00DE45E4">
        <w:rPr>
          <w:rFonts w:ascii="Tahoma" w:hAnsi="Tahoma" w:cs="Tahoma"/>
          <w:color w:val="365F91" w:themeColor="accent1" w:themeShade="BF"/>
          <w:kern w:val="20"/>
          <w:sz w:val="20"/>
        </w:rPr>
        <w:t xml:space="preserve"> lorsque l'utilisation est comprise </w:t>
      </w:r>
      <w:r w:rsidRPr="00DE45E4">
        <w:rPr>
          <w:rFonts w:ascii="Tahoma" w:hAnsi="Tahoma" w:cs="Tahoma"/>
          <w:bCs/>
          <w:color w:val="365F91" w:themeColor="accent1" w:themeShade="BF"/>
          <w:kern w:val="20"/>
          <w:sz w:val="20"/>
        </w:rPr>
        <w:t>entre 60 et 99 jours</w:t>
      </w:r>
      <w:r w:rsidRPr="00DE45E4">
        <w:rPr>
          <w:rFonts w:ascii="Tahoma" w:hAnsi="Tahoma" w:cs="Tahoma"/>
          <w:color w:val="365F91" w:themeColor="accent1" w:themeShade="BF"/>
          <w:kern w:val="20"/>
          <w:sz w:val="20"/>
        </w:rPr>
        <w:t xml:space="preserve"> ;</w:t>
      </w:r>
    </w:p>
    <w:p w14:paraId="0469B0F1" w14:textId="77777777" w:rsidR="00DE45E4" w:rsidRPr="00DE45E4" w:rsidRDefault="00DE45E4" w:rsidP="00DE45E4">
      <w:pPr>
        <w:numPr>
          <w:ilvl w:val="0"/>
          <w:numId w:val="33"/>
        </w:numPr>
        <w:spacing w:after="0" w:line="240" w:lineRule="auto"/>
        <w:rPr>
          <w:rFonts w:ascii="Tahoma" w:hAnsi="Tahoma" w:cs="Tahoma"/>
          <w:color w:val="365F91" w:themeColor="accent1" w:themeShade="BF"/>
          <w:kern w:val="20"/>
          <w:sz w:val="20"/>
        </w:rPr>
      </w:pPr>
      <w:r w:rsidRPr="00DE45E4">
        <w:rPr>
          <w:rFonts w:ascii="Tahoma" w:hAnsi="Tahoma" w:cs="Tahoma"/>
          <w:bCs/>
          <w:color w:val="365F91" w:themeColor="accent1" w:themeShade="BF"/>
          <w:kern w:val="20"/>
          <w:sz w:val="20"/>
        </w:rPr>
        <w:t>300 €</w:t>
      </w:r>
      <w:r w:rsidRPr="00DE45E4">
        <w:rPr>
          <w:rFonts w:ascii="Tahoma" w:hAnsi="Tahoma" w:cs="Tahoma"/>
          <w:color w:val="365F91" w:themeColor="accent1" w:themeShade="BF"/>
          <w:kern w:val="20"/>
          <w:sz w:val="20"/>
        </w:rPr>
        <w:t xml:space="preserve"> lorsque l'utilisation est </w:t>
      </w:r>
      <w:r w:rsidRPr="00DE45E4">
        <w:rPr>
          <w:rFonts w:ascii="Tahoma" w:hAnsi="Tahoma" w:cs="Tahoma"/>
          <w:bCs/>
          <w:color w:val="365F91" w:themeColor="accent1" w:themeShade="BF"/>
          <w:kern w:val="20"/>
          <w:sz w:val="20"/>
        </w:rPr>
        <w:t>d'au moins 100 jours</w:t>
      </w:r>
      <w:r w:rsidRPr="00DE45E4">
        <w:rPr>
          <w:rFonts w:ascii="Tahoma" w:hAnsi="Tahoma" w:cs="Tahoma"/>
          <w:color w:val="365F91" w:themeColor="accent1" w:themeShade="BF"/>
          <w:kern w:val="20"/>
          <w:sz w:val="20"/>
        </w:rPr>
        <w:t>.</w:t>
      </w:r>
    </w:p>
    <w:p w14:paraId="65B5C78B" w14:textId="77777777" w:rsidR="00DE45E4" w:rsidRPr="00341BF1" w:rsidRDefault="00DE45E4" w:rsidP="00DE45E4">
      <w:pPr>
        <w:spacing w:after="0" w:line="240" w:lineRule="auto"/>
        <w:rPr>
          <w:rFonts w:ascii="Tahoma" w:hAnsi="Tahoma" w:cs="Tahoma"/>
          <w:color w:val="365F91" w:themeColor="accent1" w:themeShade="BF"/>
          <w:kern w:val="20"/>
          <w:sz w:val="20"/>
        </w:rPr>
      </w:pPr>
    </w:p>
    <w:p w14:paraId="7543ECDF" w14:textId="7477A5A5" w:rsidR="00DE45E4"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 xml:space="preserve">Le nombre minimal de jours </w:t>
      </w:r>
      <w:r>
        <w:rPr>
          <w:rFonts w:ascii="Tahoma" w:hAnsi="Tahoma" w:cs="Tahoma"/>
          <w:color w:val="365F91" w:themeColor="accent1" w:themeShade="BF"/>
          <w:kern w:val="20"/>
          <w:sz w:val="20"/>
        </w:rPr>
        <w:t xml:space="preserve">d’utilisation </w:t>
      </w:r>
      <w:r w:rsidRPr="00341BF1">
        <w:rPr>
          <w:rFonts w:ascii="Tahoma" w:hAnsi="Tahoma" w:cs="Tahoma"/>
          <w:color w:val="365F91" w:themeColor="accent1" w:themeShade="BF"/>
          <w:kern w:val="20"/>
          <w:sz w:val="20"/>
        </w:rPr>
        <w:t>est modulé selon la quotité de temps de travail de l'agent.</w:t>
      </w:r>
    </w:p>
    <w:p w14:paraId="2D1A956A" w14:textId="77777777" w:rsidR="00DE45E4" w:rsidRPr="00DE45E4" w:rsidRDefault="00DE45E4" w:rsidP="00DE45E4">
      <w:pPr>
        <w:spacing w:after="0" w:line="240" w:lineRule="auto"/>
        <w:rPr>
          <w:rFonts w:ascii="Tahoma" w:hAnsi="Tahoma" w:cs="Tahoma"/>
          <w:color w:val="365F91" w:themeColor="accent1" w:themeShade="BF"/>
          <w:kern w:val="20"/>
          <w:sz w:val="20"/>
        </w:rPr>
      </w:pPr>
    </w:p>
    <w:p w14:paraId="05A0078C" w14:textId="0AAFE62A" w:rsidR="00DE45E4" w:rsidRPr="00341BF1"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Le « forfait mobilités</w:t>
      </w:r>
      <w:r w:rsidR="008077AC">
        <w:rPr>
          <w:rFonts w:ascii="Tahoma" w:hAnsi="Tahoma" w:cs="Tahoma"/>
          <w:color w:val="365F91" w:themeColor="accent1" w:themeShade="BF"/>
          <w:kern w:val="20"/>
          <w:sz w:val="20"/>
        </w:rPr>
        <w:t xml:space="preserve"> </w:t>
      </w:r>
      <w:r w:rsidRPr="00341BF1">
        <w:rPr>
          <w:rFonts w:ascii="Tahoma" w:hAnsi="Tahoma" w:cs="Tahoma"/>
          <w:color w:val="365F91" w:themeColor="accent1" w:themeShade="BF"/>
          <w:kern w:val="20"/>
          <w:sz w:val="20"/>
        </w:rPr>
        <w:t xml:space="preserve">durables » est versé aux agents publics </w:t>
      </w:r>
      <w:r>
        <w:rPr>
          <w:rFonts w:ascii="Tahoma" w:hAnsi="Tahoma" w:cs="Tahoma"/>
          <w:color w:val="365F91" w:themeColor="accent1" w:themeShade="BF"/>
          <w:kern w:val="20"/>
          <w:sz w:val="20"/>
        </w:rPr>
        <w:t xml:space="preserve">ou privés </w:t>
      </w:r>
      <w:r w:rsidRPr="00341BF1">
        <w:rPr>
          <w:rFonts w:ascii="Tahoma" w:hAnsi="Tahoma" w:cs="Tahoma"/>
          <w:color w:val="365F91" w:themeColor="accent1" w:themeShade="BF"/>
          <w:kern w:val="20"/>
          <w:sz w:val="20"/>
        </w:rPr>
        <w:t xml:space="preserve">s’ils utilisent </w:t>
      </w:r>
      <w:r w:rsidR="00E325B4">
        <w:rPr>
          <w:rFonts w:ascii="Tahoma" w:hAnsi="Tahoma" w:cs="Tahoma"/>
          <w:color w:val="365F91" w:themeColor="accent1" w:themeShade="BF"/>
          <w:kern w:val="20"/>
          <w:sz w:val="20"/>
        </w:rPr>
        <w:t>l’un des</w:t>
      </w:r>
      <w:r>
        <w:rPr>
          <w:rFonts w:ascii="Tahoma" w:hAnsi="Tahoma" w:cs="Tahoma"/>
          <w:color w:val="365F91" w:themeColor="accent1" w:themeShade="BF"/>
          <w:kern w:val="20"/>
          <w:sz w:val="20"/>
        </w:rPr>
        <w:t xml:space="preserve"> moyens de transports éligibles</w:t>
      </w:r>
      <w:r w:rsidRPr="00341BF1">
        <w:rPr>
          <w:rFonts w:ascii="Tahoma" w:hAnsi="Tahoma" w:cs="Tahoma"/>
          <w:color w:val="365F91" w:themeColor="accent1" w:themeShade="BF"/>
          <w:kern w:val="20"/>
          <w:sz w:val="20"/>
        </w:rPr>
        <w:t xml:space="preserve"> pour réaliser leurs déplacements entre leur lieu de résidence habituelle et leur lieu de travail au moins </w:t>
      </w:r>
      <w:r>
        <w:rPr>
          <w:rFonts w:ascii="Tahoma" w:hAnsi="Tahoma" w:cs="Tahoma"/>
          <w:color w:val="365F91" w:themeColor="accent1" w:themeShade="BF"/>
          <w:kern w:val="20"/>
          <w:sz w:val="20"/>
        </w:rPr>
        <w:t>30</w:t>
      </w:r>
      <w:r w:rsidRPr="00341BF1">
        <w:rPr>
          <w:rFonts w:ascii="Tahoma" w:hAnsi="Tahoma" w:cs="Tahoma"/>
          <w:color w:val="365F91" w:themeColor="accent1" w:themeShade="BF"/>
          <w:kern w:val="20"/>
          <w:sz w:val="20"/>
        </w:rPr>
        <w:t xml:space="preserve"> jours par an</w:t>
      </w:r>
      <w:r>
        <w:rPr>
          <w:rFonts w:ascii="Tahoma" w:hAnsi="Tahoma" w:cs="Tahoma"/>
          <w:color w:val="365F91" w:themeColor="accent1" w:themeShade="BF"/>
          <w:kern w:val="20"/>
          <w:sz w:val="20"/>
        </w:rPr>
        <w:t xml:space="preserve"> (l’agent peut utiliser alternativement l’un ou l’autre des moyens de transport au cours d’une même année pour atteindre le nombre minimal de jours d’utilisation). </w:t>
      </w:r>
    </w:p>
    <w:p w14:paraId="674E42ED" w14:textId="77777777" w:rsidR="00DE45E4" w:rsidRPr="00341BF1" w:rsidRDefault="00DE45E4" w:rsidP="00DE45E4">
      <w:pPr>
        <w:spacing w:after="0" w:line="240" w:lineRule="auto"/>
        <w:rPr>
          <w:rFonts w:ascii="Tahoma" w:hAnsi="Tahoma" w:cs="Tahoma"/>
          <w:color w:val="365F91" w:themeColor="accent1" w:themeShade="BF"/>
          <w:kern w:val="20"/>
          <w:sz w:val="20"/>
        </w:rPr>
      </w:pPr>
    </w:p>
    <w:p w14:paraId="22572E82" w14:textId="3D67671F" w:rsidR="00DE45E4"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N’ont pas droit au « forfait mobilités durables » les agents publics qui bénéficient d'un logement de fonction sur le lieu de travail, d'un véhicule de fonction, d'un transport collectif gratuit entre le domicile et le lieu de travail ou qui sont transportés gratuitement par l’employeur.</w:t>
      </w:r>
    </w:p>
    <w:p w14:paraId="42EBD712" w14:textId="77777777" w:rsidR="00DE45E4" w:rsidRPr="00DE45E4" w:rsidRDefault="00DE45E4" w:rsidP="00DE45E4">
      <w:pPr>
        <w:spacing w:after="0" w:line="240" w:lineRule="auto"/>
        <w:rPr>
          <w:rFonts w:ascii="Tahoma" w:hAnsi="Tahoma" w:cs="Tahoma"/>
          <w:color w:val="365F91" w:themeColor="accent1" w:themeShade="BF"/>
          <w:kern w:val="20"/>
          <w:sz w:val="20"/>
        </w:rPr>
      </w:pPr>
    </w:p>
    <w:p w14:paraId="308885FC" w14:textId="57AC82B0" w:rsidR="00DE45E4" w:rsidRPr="00341BF1"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L’octroi du « forfait mobilités durables » est subordonné au dépôt d’une déclaration sur l'honneur établie par l'agent auprès de son employeur au plus tard le 31 décembre de l'année au titre duquel le forfait est versé.</w:t>
      </w:r>
      <w:r>
        <w:rPr>
          <w:rFonts w:ascii="Tahoma" w:hAnsi="Tahoma" w:cs="Tahoma"/>
          <w:color w:val="365F91" w:themeColor="accent1" w:themeShade="BF"/>
          <w:kern w:val="20"/>
          <w:sz w:val="20"/>
        </w:rPr>
        <w:t xml:space="preserve"> </w:t>
      </w:r>
      <w:r w:rsidRPr="00341BF1">
        <w:rPr>
          <w:rFonts w:ascii="Tahoma" w:hAnsi="Tahoma" w:cs="Tahoma"/>
          <w:color w:val="365F91" w:themeColor="accent1" w:themeShade="BF"/>
          <w:kern w:val="20"/>
          <w:sz w:val="20"/>
        </w:rPr>
        <w:t>Cette déclaration certifie l'utilisation de l'un des moyens de transport</w:t>
      </w:r>
      <w:r w:rsidR="008077AC">
        <w:rPr>
          <w:rFonts w:ascii="Tahoma" w:hAnsi="Tahoma" w:cs="Tahoma"/>
          <w:color w:val="365F91" w:themeColor="accent1" w:themeShade="BF"/>
          <w:kern w:val="20"/>
          <w:sz w:val="20"/>
        </w:rPr>
        <w:t xml:space="preserve"> </w:t>
      </w:r>
      <w:r w:rsidR="00E325B4">
        <w:rPr>
          <w:rFonts w:ascii="Tahoma" w:hAnsi="Tahoma" w:cs="Tahoma"/>
          <w:color w:val="365F91" w:themeColor="accent1" w:themeShade="BF"/>
          <w:kern w:val="20"/>
          <w:sz w:val="20"/>
        </w:rPr>
        <w:t>éligibles</w:t>
      </w:r>
      <w:r w:rsidR="008077AC" w:rsidRPr="008077AC">
        <w:rPr>
          <w:rFonts w:ascii="Tahoma" w:hAnsi="Tahoma" w:cs="Tahoma"/>
          <w:color w:val="365F91" w:themeColor="accent1" w:themeShade="BF"/>
          <w:kern w:val="20"/>
          <w:sz w:val="20"/>
        </w:rPr>
        <w:t>.</w:t>
      </w:r>
    </w:p>
    <w:p w14:paraId="0088D178" w14:textId="77777777" w:rsidR="00DE45E4" w:rsidRPr="00341BF1" w:rsidRDefault="00DE45E4" w:rsidP="00DE45E4">
      <w:pPr>
        <w:spacing w:after="0" w:line="240" w:lineRule="auto"/>
        <w:rPr>
          <w:rFonts w:ascii="Tahoma" w:hAnsi="Tahoma" w:cs="Tahoma"/>
          <w:color w:val="365F91" w:themeColor="accent1" w:themeShade="BF"/>
          <w:kern w:val="20"/>
          <w:sz w:val="20"/>
        </w:rPr>
      </w:pPr>
    </w:p>
    <w:p w14:paraId="1BD88F8F" w14:textId="17F3AC31" w:rsidR="00DE45E4" w:rsidRPr="00341BF1"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 xml:space="preserve">L'utilisation effective </w:t>
      </w:r>
      <w:r w:rsidR="008077AC">
        <w:rPr>
          <w:rFonts w:ascii="Tahoma" w:hAnsi="Tahoma" w:cs="Tahoma"/>
          <w:color w:val="365F91" w:themeColor="accent1" w:themeShade="BF"/>
          <w:kern w:val="20"/>
          <w:sz w:val="20"/>
        </w:rPr>
        <w:t>de ces moyens de transport</w:t>
      </w:r>
      <w:r w:rsidRPr="00341BF1">
        <w:rPr>
          <w:rFonts w:ascii="Tahoma" w:hAnsi="Tahoma" w:cs="Tahoma"/>
          <w:color w:val="365F91" w:themeColor="accent1" w:themeShade="BF"/>
          <w:kern w:val="20"/>
          <w:sz w:val="20"/>
        </w:rPr>
        <w:t xml:space="preserve"> </w:t>
      </w:r>
      <w:r>
        <w:rPr>
          <w:rFonts w:ascii="Tahoma" w:hAnsi="Tahoma" w:cs="Tahoma"/>
          <w:color w:val="365F91" w:themeColor="accent1" w:themeShade="BF"/>
          <w:kern w:val="20"/>
          <w:sz w:val="20"/>
        </w:rPr>
        <w:t>peut faire</w:t>
      </w:r>
      <w:r w:rsidRPr="00341BF1">
        <w:rPr>
          <w:rFonts w:ascii="Tahoma" w:hAnsi="Tahoma" w:cs="Tahoma"/>
          <w:color w:val="365F91" w:themeColor="accent1" w:themeShade="BF"/>
          <w:kern w:val="20"/>
          <w:sz w:val="20"/>
        </w:rPr>
        <w:t xml:space="preserve"> l'objet d'un contrôle de la part de l'employeur</w:t>
      </w:r>
      <w:r w:rsidR="008077AC">
        <w:rPr>
          <w:rFonts w:ascii="Tahoma" w:hAnsi="Tahoma" w:cs="Tahoma"/>
          <w:color w:val="365F91" w:themeColor="accent1" w:themeShade="BF"/>
          <w:kern w:val="20"/>
          <w:sz w:val="20"/>
        </w:rPr>
        <w:t>,</w:t>
      </w:r>
      <w:r w:rsidRPr="00341BF1">
        <w:rPr>
          <w:rFonts w:ascii="Tahoma" w:hAnsi="Tahoma" w:cs="Tahoma"/>
          <w:color w:val="365F91" w:themeColor="accent1" w:themeShade="BF"/>
          <w:kern w:val="20"/>
          <w:sz w:val="20"/>
        </w:rPr>
        <w:t xml:space="preserve"> qui peut demander à l'agent tout justificatif utile à cet effet.</w:t>
      </w:r>
    </w:p>
    <w:p w14:paraId="5E0825CF" w14:textId="77777777" w:rsidR="00DE45E4" w:rsidRPr="00341BF1" w:rsidRDefault="00DE45E4" w:rsidP="00DE45E4">
      <w:pPr>
        <w:spacing w:after="0" w:line="240" w:lineRule="auto"/>
        <w:rPr>
          <w:rFonts w:ascii="Tahoma" w:hAnsi="Tahoma" w:cs="Tahoma"/>
          <w:color w:val="365F91" w:themeColor="accent1" w:themeShade="BF"/>
          <w:kern w:val="20"/>
          <w:sz w:val="20"/>
        </w:rPr>
      </w:pPr>
    </w:p>
    <w:p w14:paraId="121AFDD5" w14:textId="32E96A24" w:rsidR="00DE45E4"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En cas de pluralité d’employeurs publics, le montant du forfait versé par l’employeur est déterminé en prenant en compte le total cumulé des heures travaillées. La prise en charge du forfait par l’employeur est alors calculée au prorata du temps travaillé auprès de chaque employeur.</w:t>
      </w:r>
    </w:p>
    <w:p w14:paraId="3F99A93D" w14:textId="77777777" w:rsidR="00DE45E4" w:rsidRPr="00DE45E4" w:rsidRDefault="00DE45E4" w:rsidP="00DE45E4">
      <w:pPr>
        <w:spacing w:after="0" w:line="240" w:lineRule="auto"/>
        <w:rPr>
          <w:rFonts w:ascii="Tahoma" w:hAnsi="Tahoma" w:cs="Tahoma"/>
          <w:color w:val="365F91" w:themeColor="accent1" w:themeShade="BF"/>
          <w:kern w:val="20"/>
          <w:sz w:val="20"/>
        </w:rPr>
      </w:pPr>
      <w:bookmarkStart w:id="1" w:name="_GoBack"/>
      <w:bookmarkEnd w:id="1"/>
    </w:p>
    <w:p w14:paraId="5C3D9A55" w14:textId="17720A9A" w:rsidR="00DE45E4" w:rsidRDefault="008077AC" w:rsidP="008077AC">
      <w:p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L</w:t>
      </w:r>
      <w:r w:rsidR="00DE45E4" w:rsidRPr="00341BF1">
        <w:rPr>
          <w:rFonts w:ascii="Tahoma" w:hAnsi="Tahoma" w:cs="Tahoma"/>
          <w:color w:val="365F91" w:themeColor="accent1" w:themeShade="BF"/>
          <w:kern w:val="20"/>
          <w:sz w:val="20"/>
        </w:rPr>
        <w:t xml:space="preserve">e « forfait mobilité durable » est </w:t>
      </w:r>
      <w:r>
        <w:rPr>
          <w:rFonts w:ascii="Tahoma" w:hAnsi="Tahoma" w:cs="Tahoma"/>
          <w:color w:val="365F91" w:themeColor="accent1" w:themeShade="BF"/>
          <w:kern w:val="20"/>
          <w:sz w:val="20"/>
        </w:rPr>
        <w:t>cumulable avec le</w:t>
      </w:r>
      <w:r w:rsidR="00DE45E4" w:rsidRPr="00341BF1">
        <w:rPr>
          <w:rFonts w:ascii="Tahoma" w:hAnsi="Tahoma" w:cs="Tahoma"/>
          <w:color w:val="365F91" w:themeColor="accent1" w:themeShade="BF"/>
          <w:kern w:val="20"/>
          <w:sz w:val="20"/>
        </w:rPr>
        <w:t xml:space="preserve"> remboursement des frais de transports publics ou d'un abonnement à un service public de location de vélos prévus par le décret du 21 juin 2010</w:t>
      </w:r>
      <w:r>
        <w:rPr>
          <w:rFonts w:ascii="Tahoma" w:hAnsi="Tahoma" w:cs="Tahoma"/>
          <w:color w:val="365F91" w:themeColor="accent1" w:themeShade="BF"/>
          <w:kern w:val="20"/>
          <w:sz w:val="20"/>
        </w:rPr>
        <w:t>, mais un même abonnement ne peut pas faire l’objet d’un remboursement à ces deux titres</w:t>
      </w:r>
      <w:r w:rsidR="00DE45E4" w:rsidRPr="00341BF1">
        <w:rPr>
          <w:rFonts w:ascii="Tahoma" w:hAnsi="Tahoma" w:cs="Tahoma"/>
          <w:color w:val="365F91" w:themeColor="accent1" w:themeShade="BF"/>
          <w:kern w:val="20"/>
          <w:sz w:val="20"/>
        </w:rPr>
        <w:t>.</w:t>
      </w:r>
    </w:p>
    <w:p w14:paraId="0D0D6C46" w14:textId="77777777" w:rsidR="008077AC" w:rsidRPr="008077AC" w:rsidRDefault="008077AC" w:rsidP="008077AC">
      <w:pPr>
        <w:spacing w:after="0" w:line="240" w:lineRule="auto"/>
        <w:rPr>
          <w:rFonts w:ascii="Tahoma" w:hAnsi="Tahoma" w:cs="Tahoma"/>
          <w:color w:val="365F91" w:themeColor="accent1" w:themeShade="BF"/>
          <w:kern w:val="20"/>
          <w:sz w:val="20"/>
        </w:rPr>
      </w:pPr>
    </w:p>
    <w:p w14:paraId="54E3E292" w14:textId="77777777" w:rsidR="007B2533" w:rsidRDefault="007B2533" w:rsidP="00A448C7">
      <w:pPr>
        <w:spacing w:after="0" w:line="240" w:lineRule="auto"/>
        <w:outlineLvl w:val="0"/>
        <w:rPr>
          <w:rFonts w:ascii="Tahoma" w:hAnsi="Tahoma" w:cs="Tahoma"/>
          <w:i/>
          <w:color w:val="00B0F0"/>
          <w:sz w:val="20"/>
        </w:rPr>
      </w:pPr>
    </w:p>
    <w:p w14:paraId="06CF2835" w14:textId="77777777" w:rsidR="009A4A04" w:rsidRPr="007B4C69" w:rsidRDefault="00872E24" w:rsidP="00A448C7">
      <w:pPr>
        <w:spacing w:after="0" w:line="240" w:lineRule="auto"/>
        <w:rPr>
          <w:rFonts w:ascii="Tahoma" w:hAnsi="Tahoma" w:cs="Tahoma"/>
          <w:b/>
          <w:color w:val="365F91" w:themeColor="accent1" w:themeShade="BF"/>
          <w:kern w:val="20"/>
          <w:sz w:val="20"/>
        </w:rPr>
      </w:pPr>
      <w:r w:rsidRPr="007B4C69">
        <w:rPr>
          <w:rFonts w:ascii="Tahoma" w:hAnsi="Tahoma" w:cs="Tahoma"/>
          <w:b/>
          <w:color w:val="365F91" w:themeColor="accent1" w:themeShade="BF"/>
          <w:kern w:val="20"/>
          <w:sz w:val="20"/>
        </w:rPr>
        <w:t xml:space="preserve">L’assemblée délibérante, </w:t>
      </w:r>
    </w:p>
    <w:p w14:paraId="06CF2836" w14:textId="50F0C2C7" w:rsidR="00872E24" w:rsidRPr="007B4C69" w:rsidRDefault="00872E24" w:rsidP="00A448C7">
      <w:pPr>
        <w:spacing w:after="0" w:line="240" w:lineRule="auto"/>
        <w:rPr>
          <w:rFonts w:ascii="Tahoma" w:hAnsi="Tahoma" w:cs="Tahoma"/>
          <w:sz w:val="20"/>
        </w:rPr>
      </w:pPr>
    </w:p>
    <w:p w14:paraId="703A65C8" w14:textId="194C6844" w:rsidR="00A82D77" w:rsidRPr="007B4C69" w:rsidRDefault="00AC681E" w:rsidP="00A82D77">
      <w:pPr>
        <w:spacing w:after="0" w:line="240" w:lineRule="auto"/>
        <w:jc w:val="center"/>
        <w:rPr>
          <w:rFonts w:ascii="Tahoma" w:hAnsi="Tahoma" w:cs="Tahoma"/>
          <w:color w:val="365F91" w:themeColor="accent1" w:themeShade="BF"/>
          <w:kern w:val="20"/>
          <w:sz w:val="20"/>
        </w:rPr>
      </w:pPr>
      <w:r w:rsidRPr="007B4C69">
        <w:rPr>
          <w:rFonts w:ascii="Tahoma" w:hAnsi="Tahoma" w:cs="Tahoma"/>
          <w:b/>
          <w:color w:val="365F91" w:themeColor="accent1" w:themeShade="BF"/>
          <w:kern w:val="20"/>
          <w:sz w:val="20"/>
        </w:rPr>
        <w:t>D</w:t>
      </w:r>
      <w:r w:rsidR="00872E24" w:rsidRPr="007B4C69">
        <w:rPr>
          <w:rFonts w:ascii="Tahoma" w:hAnsi="Tahoma" w:cs="Tahoma"/>
          <w:b/>
          <w:color w:val="365F91" w:themeColor="accent1" w:themeShade="BF"/>
          <w:kern w:val="20"/>
          <w:sz w:val="20"/>
        </w:rPr>
        <w:t>écide</w:t>
      </w:r>
    </w:p>
    <w:bookmarkEnd w:id="0"/>
    <w:p w14:paraId="5A83A617" w14:textId="51BBFC10" w:rsidR="006154B9" w:rsidRPr="007B4C69" w:rsidRDefault="006154B9" w:rsidP="00A82D77">
      <w:pPr>
        <w:spacing w:after="0" w:line="240" w:lineRule="auto"/>
        <w:rPr>
          <w:rFonts w:ascii="Tahoma" w:hAnsi="Tahoma" w:cs="Tahoma"/>
          <w:b/>
          <w:bCs/>
          <w:color w:val="365F91" w:themeColor="accent1" w:themeShade="BF"/>
          <w:kern w:val="20"/>
          <w:sz w:val="20"/>
        </w:rPr>
      </w:pPr>
    </w:p>
    <w:p w14:paraId="58395A6A" w14:textId="4F859EAF" w:rsidR="00341BF1" w:rsidRPr="008077AC" w:rsidRDefault="008077AC" w:rsidP="008077AC">
      <w:pPr>
        <w:pStyle w:val="Paragraphedeliste"/>
        <w:numPr>
          <w:ilvl w:val="0"/>
          <w:numId w:val="33"/>
        </w:num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D’instaurer</w:t>
      </w:r>
      <w:r w:rsidR="00341BF1" w:rsidRPr="008077AC">
        <w:rPr>
          <w:rFonts w:ascii="Tahoma" w:hAnsi="Tahoma" w:cs="Tahoma"/>
          <w:color w:val="365F91" w:themeColor="accent1" w:themeShade="BF"/>
          <w:kern w:val="20"/>
          <w:sz w:val="20"/>
        </w:rPr>
        <w:t xml:space="preserve"> le « forfait mobilités durables » selon les modalités </w:t>
      </w:r>
      <w:r>
        <w:rPr>
          <w:rFonts w:ascii="Tahoma" w:hAnsi="Tahoma" w:cs="Tahoma"/>
          <w:color w:val="365F91" w:themeColor="accent1" w:themeShade="BF"/>
          <w:kern w:val="20"/>
          <w:sz w:val="20"/>
        </w:rPr>
        <w:t>présentées ci-dessus ;</w:t>
      </w:r>
    </w:p>
    <w:p w14:paraId="0ED5D0DF" w14:textId="77777777" w:rsidR="00341BF1" w:rsidRDefault="00341BF1" w:rsidP="00341BF1">
      <w:pPr>
        <w:spacing w:after="0" w:line="240" w:lineRule="auto"/>
        <w:rPr>
          <w:rFonts w:ascii="Tahoma" w:hAnsi="Tahoma" w:cs="Tahoma"/>
          <w:color w:val="365F91" w:themeColor="accent1" w:themeShade="BF"/>
          <w:kern w:val="20"/>
          <w:sz w:val="20"/>
        </w:rPr>
      </w:pPr>
    </w:p>
    <w:p w14:paraId="43948727" w14:textId="09B4AE9B" w:rsidR="008077AC" w:rsidRDefault="00341BF1" w:rsidP="008077AC">
      <w:pPr>
        <w:pStyle w:val="Paragraphedeliste"/>
        <w:numPr>
          <w:ilvl w:val="0"/>
          <w:numId w:val="33"/>
        </w:numPr>
        <w:spacing w:after="0" w:line="240" w:lineRule="auto"/>
        <w:rPr>
          <w:rFonts w:ascii="Tahoma" w:hAnsi="Tahoma" w:cs="Tahoma"/>
          <w:color w:val="365F91" w:themeColor="accent1" w:themeShade="BF"/>
          <w:kern w:val="20"/>
          <w:sz w:val="20"/>
        </w:rPr>
      </w:pPr>
      <w:r w:rsidRPr="008077AC">
        <w:rPr>
          <w:rFonts w:ascii="Tahoma" w:hAnsi="Tahoma" w:cs="Tahoma"/>
          <w:color w:val="365F91" w:themeColor="accent1" w:themeShade="BF"/>
          <w:kern w:val="20"/>
          <w:sz w:val="20"/>
        </w:rPr>
        <w:t>Le</w:t>
      </w:r>
      <w:r w:rsidR="008077AC">
        <w:rPr>
          <w:rFonts w:ascii="Tahoma" w:hAnsi="Tahoma" w:cs="Tahoma"/>
          <w:color w:val="365F91" w:themeColor="accent1" w:themeShade="BF"/>
          <w:kern w:val="20"/>
          <w:sz w:val="20"/>
        </w:rPr>
        <w:t xml:space="preserve"> versement du</w:t>
      </w:r>
      <w:r w:rsidRPr="008077AC">
        <w:rPr>
          <w:rFonts w:ascii="Tahoma" w:hAnsi="Tahoma" w:cs="Tahoma"/>
          <w:color w:val="365F91" w:themeColor="accent1" w:themeShade="BF"/>
          <w:kern w:val="20"/>
          <w:sz w:val="20"/>
        </w:rPr>
        <w:t xml:space="preserve"> « forfait mobilités durables » </w:t>
      </w:r>
      <w:r w:rsidR="008077AC">
        <w:rPr>
          <w:rFonts w:ascii="Tahoma" w:hAnsi="Tahoma" w:cs="Tahoma"/>
          <w:color w:val="365F91" w:themeColor="accent1" w:themeShade="BF"/>
          <w:kern w:val="20"/>
          <w:sz w:val="20"/>
        </w:rPr>
        <w:t>aura lieu</w:t>
      </w:r>
      <w:r w:rsidR="00FD2E94" w:rsidRPr="008077AC">
        <w:rPr>
          <w:rFonts w:ascii="Tahoma" w:hAnsi="Tahoma" w:cs="Tahoma"/>
          <w:color w:val="365F91" w:themeColor="accent1" w:themeShade="BF"/>
          <w:kern w:val="20"/>
          <w:sz w:val="20"/>
        </w:rPr>
        <w:t xml:space="preserve"> en une seule fraction</w:t>
      </w:r>
      <w:r w:rsidRPr="008077AC">
        <w:rPr>
          <w:rFonts w:ascii="Tahoma" w:hAnsi="Tahoma" w:cs="Tahoma"/>
          <w:color w:val="365F91" w:themeColor="accent1" w:themeShade="BF"/>
          <w:kern w:val="20"/>
          <w:sz w:val="20"/>
        </w:rPr>
        <w:t xml:space="preserve"> l'année suivant celle</w:t>
      </w:r>
      <w:r w:rsidR="008077AC">
        <w:rPr>
          <w:rFonts w:ascii="Tahoma" w:hAnsi="Tahoma" w:cs="Tahoma"/>
          <w:color w:val="365F91" w:themeColor="accent1" w:themeShade="BF"/>
          <w:kern w:val="20"/>
          <w:sz w:val="20"/>
        </w:rPr>
        <w:t xml:space="preserve"> au titre de laquelle le droit est ouvert, et </w:t>
      </w:r>
      <w:r w:rsidR="00152E31" w:rsidRPr="008077AC">
        <w:rPr>
          <w:rFonts w:ascii="Tahoma" w:hAnsi="Tahoma" w:cs="Tahoma"/>
          <w:color w:val="365F91" w:themeColor="accent1" w:themeShade="BF"/>
          <w:kern w:val="20"/>
          <w:sz w:val="20"/>
        </w:rPr>
        <w:t>interviendra sur le mois de …………</w:t>
      </w:r>
    </w:p>
    <w:p w14:paraId="739B2CFF" w14:textId="77777777" w:rsidR="008077AC" w:rsidRPr="008077AC" w:rsidRDefault="008077AC" w:rsidP="008077AC">
      <w:pPr>
        <w:spacing w:after="0" w:line="240" w:lineRule="auto"/>
        <w:rPr>
          <w:rFonts w:ascii="Tahoma" w:hAnsi="Tahoma" w:cs="Tahoma"/>
          <w:color w:val="365F91" w:themeColor="accent1" w:themeShade="BF"/>
          <w:kern w:val="20"/>
          <w:sz w:val="20"/>
        </w:rPr>
      </w:pPr>
    </w:p>
    <w:p w14:paraId="45A41A5F" w14:textId="0A04ACE6" w:rsidR="008077AC" w:rsidRPr="008077AC" w:rsidRDefault="008077AC" w:rsidP="008077AC">
      <w:pPr>
        <w:pStyle w:val="Paragraphedeliste"/>
        <w:numPr>
          <w:ilvl w:val="0"/>
          <w:numId w:val="33"/>
        </w:numPr>
        <w:rPr>
          <w:rFonts w:ascii="Tahoma" w:hAnsi="Tahoma" w:cs="Tahoma"/>
          <w:color w:val="365F91" w:themeColor="accent1" w:themeShade="BF"/>
          <w:kern w:val="20"/>
          <w:sz w:val="20"/>
        </w:rPr>
      </w:pPr>
      <w:r w:rsidRPr="008077AC">
        <w:rPr>
          <w:rFonts w:ascii="Tahoma" w:hAnsi="Tahoma" w:cs="Tahoma"/>
          <w:color w:val="365F91" w:themeColor="accent1" w:themeShade="BF"/>
          <w:kern w:val="20"/>
          <w:sz w:val="20"/>
        </w:rPr>
        <w:t>D’inscrire au budget les crédits correspondants ;</w:t>
      </w:r>
    </w:p>
    <w:p w14:paraId="1433E031" w14:textId="77777777" w:rsidR="008077AC" w:rsidRPr="008077AC" w:rsidRDefault="008077AC" w:rsidP="008077AC">
      <w:pPr>
        <w:pStyle w:val="Paragraphedeliste"/>
        <w:rPr>
          <w:rFonts w:ascii="Tahoma" w:hAnsi="Tahoma" w:cs="Tahoma"/>
          <w:color w:val="365F91" w:themeColor="accent1" w:themeShade="BF"/>
          <w:kern w:val="20"/>
          <w:sz w:val="20"/>
        </w:rPr>
      </w:pPr>
    </w:p>
    <w:p w14:paraId="1BD61EB8" w14:textId="54FE4A24" w:rsidR="00A37282" w:rsidRPr="008077AC" w:rsidRDefault="00460976" w:rsidP="008077AC">
      <w:pPr>
        <w:pStyle w:val="Paragraphedeliste"/>
        <w:numPr>
          <w:ilvl w:val="0"/>
          <w:numId w:val="33"/>
        </w:numPr>
        <w:spacing w:after="0" w:line="240" w:lineRule="auto"/>
        <w:rPr>
          <w:rFonts w:ascii="Tahoma" w:hAnsi="Tahoma" w:cs="Tahoma"/>
          <w:color w:val="365F91" w:themeColor="accent1" w:themeShade="BF"/>
          <w:kern w:val="20"/>
          <w:sz w:val="20"/>
        </w:rPr>
      </w:pPr>
      <w:r w:rsidRPr="008077AC">
        <w:rPr>
          <w:rFonts w:ascii="Tahoma" w:hAnsi="Tahoma" w:cs="Tahoma"/>
          <w:color w:val="365F91" w:themeColor="accent1" w:themeShade="BF"/>
          <w:kern w:val="20"/>
          <w:sz w:val="20"/>
        </w:rPr>
        <w:t>D</w:t>
      </w:r>
      <w:r w:rsidR="008D4406" w:rsidRPr="008077AC">
        <w:rPr>
          <w:rFonts w:ascii="Tahoma" w:hAnsi="Tahoma" w:cs="Tahoma"/>
          <w:color w:val="365F91" w:themeColor="accent1" w:themeShade="BF"/>
          <w:kern w:val="20"/>
          <w:sz w:val="20"/>
        </w:rPr>
        <w:t xml:space="preserve">e charger l’autorité territoriale de </w:t>
      </w:r>
      <w:r w:rsidR="000E145B" w:rsidRPr="008077AC">
        <w:rPr>
          <w:rFonts w:ascii="Tahoma" w:hAnsi="Tahoma" w:cs="Tahoma"/>
          <w:color w:val="365F91" w:themeColor="accent1" w:themeShade="BF"/>
          <w:kern w:val="20"/>
          <w:sz w:val="20"/>
        </w:rPr>
        <w:t>veiller à la bonne exécution de c</w:t>
      </w:r>
      <w:r w:rsidR="006D0055" w:rsidRPr="008077AC">
        <w:rPr>
          <w:rFonts w:ascii="Tahoma" w:hAnsi="Tahoma" w:cs="Tahoma"/>
          <w:color w:val="365F91" w:themeColor="accent1" w:themeShade="BF"/>
          <w:kern w:val="20"/>
          <w:sz w:val="20"/>
        </w:rPr>
        <w:t>ette délibération</w:t>
      </w:r>
      <w:r w:rsidR="008077AC">
        <w:rPr>
          <w:rFonts w:ascii="Tahoma" w:hAnsi="Tahoma" w:cs="Tahoma"/>
          <w:color w:val="365F91" w:themeColor="accent1" w:themeShade="BF"/>
          <w:kern w:val="20"/>
          <w:sz w:val="20"/>
        </w:rPr>
        <w:t>, qui prendra effet le………</w:t>
      </w:r>
      <w:proofErr w:type="gramStart"/>
      <w:r w:rsidR="008077AC">
        <w:rPr>
          <w:rFonts w:ascii="Tahoma" w:hAnsi="Tahoma" w:cs="Tahoma"/>
          <w:color w:val="365F91" w:themeColor="accent1" w:themeShade="BF"/>
          <w:kern w:val="20"/>
          <w:sz w:val="20"/>
        </w:rPr>
        <w:t>…….</w:t>
      </w:r>
      <w:proofErr w:type="gramEnd"/>
      <w:r w:rsidR="008077AC">
        <w:rPr>
          <w:rFonts w:ascii="Tahoma" w:hAnsi="Tahoma" w:cs="Tahoma"/>
          <w:color w:val="365F91" w:themeColor="accent1" w:themeShade="BF"/>
          <w:kern w:val="20"/>
          <w:sz w:val="20"/>
        </w:rPr>
        <w:t>,  et de signer tout acte en découlant</w:t>
      </w:r>
      <w:r w:rsidR="006D0055" w:rsidRPr="008077AC">
        <w:rPr>
          <w:rFonts w:ascii="Tahoma" w:hAnsi="Tahoma" w:cs="Tahoma"/>
          <w:color w:val="365F91" w:themeColor="accent1" w:themeShade="BF"/>
          <w:kern w:val="20"/>
          <w:sz w:val="20"/>
        </w:rPr>
        <w:t xml:space="preserve"> </w:t>
      </w:r>
      <w:r w:rsidR="00A37282" w:rsidRPr="008077AC">
        <w:rPr>
          <w:rFonts w:ascii="Tahoma" w:hAnsi="Tahoma" w:cs="Tahoma"/>
          <w:color w:val="365F91" w:themeColor="accent1" w:themeShade="BF"/>
          <w:kern w:val="20"/>
          <w:sz w:val="20"/>
        </w:rPr>
        <w:t>;</w:t>
      </w:r>
    </w:p>
    <w:p w14:paraId="33C1CCA0" w14:textId="77777777" w:rsidR="003C45F6" w:rsidRDefault="003C45F6" w:rsidP="00A82D77">
      <w:pPr>
        <w:spacing w:after="0" w:line="240" w:lineRule="auto"/>
        <w:rPr>
          <w:rFonts w:ascii="Tahoma" w:hAnsi="Tahoma" w:cs="Tahoma"/>
          <w:color w:val="365F91" w:themeColor="accent1" w:themeShade="BF"/>
          <w:kern w:val="20"/>
        </w:rPr>
      </w:pPr>
    </w:p>
    <w:p w14:paraId="06CF2858" w14:textId="77777777" w:rsidR="00892223" w:rsidRPr="00DC3775" w:rsidRDefault="009A4A04" w:rsidP="00A448C7">
      <w:pPr>
        <w:pStyle w:val="articlecontenu"/>
        <w:spacing w:after="0"/>
        <w:ind w:left="5664" w:firstLine="0"/>
        <w:rPr>
          <w:rFonts w:ascii="Tahoma" w:hAnsi="Tahoma" w:cs="Tahoma"/>
          <w:color w:val="5F497A"/>
          <w:kern w:val="20"/>
          <w:sz w:val="22"/>
        </w:rPr>
      </w:pPr>
      <w:r w:rsidRPr="00DC3775">
        <w:rPr>
          <w:rFonts w:ascii="Tahoma" w:hAnsi="Tahoma" w:cs="Tahoma"/>
          <w:color w:val="5F497A"/>
          <w:kern w:val="20"/>
          <w:sz w:val="22"/>
        </w:rPr>
        <w:tab/>
      </w:r>
      <w:r w:rsidRPr="00DC3775">
        <w:rPr>
          <w:rFonts w:ascii="Tahoma" w:hAnsi="Tahoma" w:cs="Tahoma"/>
          <w:color w:val="5F497A"/>
          <w:kern w:val="20"/>
          <w:sz w:val="22"/>
        </w:rPr>
        <w:tab/>
      </w:r>
      <w:r w:rsidRPr="00DC3775">
        <w:rPr>
          <w:rFonts w:ascii="Tahoma" w:hAnsi="Tahoma" w:cs="Tahoma"/>
          <w:color w:val="5F497A"/>
          <w:kern w:val="20"/>
          <w:sz w:val="22"/>
        </w:rPr>
        <w:tab/>
      </w:r>
    </w:p>
    <w:p w14:paraId="06CF2859" w14:textId="3263044E" w:rsidR="00892223" w:rsidRPr="007B4C69" w:rsidRDefault="00892223" w:rsidP="00A448C7">
      <w:pPr>
        <w:pStyle w:val="articlecontenu"/>
        <w:spacing w:after="0"/>
        <w:ind w:left="5664" w:firstLine="0"/>
        <w:rPr>
          <w:rFonts w:ascii="Tahoma" w:hAnsi="Tahoma" w:cs="Tahoma"/>
          <w:color w:val="365F91" w:themeColor="accent1" w:themeShade="BF"/>
          <w:kern w:val="20"/>
        </w:rPr>
      </w:pPr>
      <w:r w:rsidRPr="007B4C69">
        <w:rPr>
          <w:rFonts w:ascii="Tahoma" w:hAnsi="Tahoma" w:cs="Tahoma"/>
          <w:color w:val="365F91" w:themeColor="accent1" w:themeShade="BF"/>
          <w:kern w:val="20"/>
        </w:rPr>
        <w:t xml:space="preserve">Fait à </w:t>
      </w:r>
      <w:r w:rsidRPr="005D0A2B">
        <w:rPr>
          <w:rFonts w:ascii="Tahoma" w:hAnsi="Tahoma" w:cs="Tahoma"/>
          <w:color w:val="00B0F0"/>
          <w:kern w:val="20"/>
        </w:rPr>
        <w:t xml:space="preserve">…… </w:t>
      </w:r>
      <w:r w:rsidRPr="007B4C69">
        <w:rPr>
          <w:rFonts w:ascii="Tahoma" w:hAnsi="Tahoma" w:cs="Tahoma"/>
          <w:color w:val="365F91" w:themeColor="accent1" w:themeShade="BF"/>
          <w:kern w:val="20"/>
        </w:rPr>
        <w:t xml:space="preserve">le </w:t>
      </w:r>
      <w:r w:rsidR="005D0A2B" w:rsidRPr="005D0A2B">
        <w:rPr>
          <w:rFonts w:ascii="Tahoma" w:hAnsi="Tahoma" w:cs="Tahoma"/>
          <w:color w:val="00B0F0"/>
          <w:kern w:val="20"/>
        </w:rPr>
        <w:t>……</w:t>
      </w:r>
      <w:r w:rsidRPr="005D0A2B">
        <w:rPr>
          <w:rFonts w:ascii="Tahoma" w:hAnsi="Tahoma" w:cs="Tahoma"/>
          <w:color w:val="00B0F0"/>
          <w:kern w:val="20"/>
        </w:rPr>
        <w:t>,</w:t>
      </w:r>
    </w:p>
    <w:p w14:paraId="06CF285A"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color w:val="365F91" w:themeColor="accent1" w:themeShade="BF"/>
          <w:kern w:val="20"/>
        </w:rPr>
        <w:t>Le Maire</w:t>
      </w:r>
      <w:r w:rsidRPr="007B4C69">
        <w:rPr>
          <w:rFonts w:ascii="Tahoma" w:hAnsi="Tahoma" w:cs="Tahoma"/>
          <w:color w:val="5F497A"/>
          <w:kern w:val="20"/>
        </w:rPr>
        <w:t xml:space="preserve"> </w:t>
      </w:r>
      <w:r w:rsidRPr="007B4C69">
        <w:rPr>
          <w:rFonts w:ascii="Tahoma" w:hAnsi="Tahoma" w:cs="Tahoma"/>
          <w:i/>
          <w:color w:val="00B0F0"/>
        </w:rPr>
        <w:t>(le président),</w:t>
      </w:r>
    </w:p>
    <w:p w14:paraId="06CF285B"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lisibles et signature)</w:t>
      </w:r>
    </w:p>
    <w:p w14:paraId="06CF285C" w14:textId="77777777" w:rsidR="00892223" w:rsidRPr="007B4C69" w:rsidRDefault="00892223" w:rsidP="00A448C7">
      <w:pPr>
        <w:pStyle w:val="articlecontenu"/>
        <w:spacing w:after="0"/>
        <w:ind w:left="5664" w:firstLine="0"/>
        <w:rPr>
          <w:rFonts w:ascii="Tahoma" w:hAnsi="Tahoma" w:cs="Tahoma"/>
          <w:i/>
          <w:color w:val="00B0F0"/>
        </w:rPr>
      </w:pPr>
      <w:proofErr w:type="gramStart"/>
      <w:r w:rsidRPr="007B4C69">
        <w:rPr>
          <w:rFonts w:ascii="Tahoma" w:hAnsi="Tahoma" w:cs="Tahoma"/>
          <w:i/>
          <w:color w:val="00B0F0"/>
        </w:rPr>
        <w:t>ou</w:t>
      </w:r>
      <w:proofErr w:type="gramEnd"/>
    </w:p>
    <w:p w14:paraId="06CF285D"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Par délégation,</w:t>
      </w:r>
    </w:p>
    <w:p w14:paraId="06CF285E"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qualité lisibles et signature)</w:t>
      </w:r>
    </w:p>
    <w:p w14:paraId="06CF285F" w14:textId="77777777" w:rsidR="009A4A04" w:rsidRDefault="009A4A04" w:rsidP="00A448C7">
      <w:pPr>
        <w:spacing w:after="0" w:line="240" w:lineRule="auto"/>
        <w:outlineLvl w:val="0"/>
        <w:rPr>
          <w:rFonts w:ascii="Tahoma" w:hAnsi="Tahoma" w:cs="Tahoma"/>
          <w:szCs w:val="22"/>
        </w:rPr>
      </w:pPr>
    </w:p>
    <w:p w14:paraId="06CF2860" w14:textId="77777777" w:rsidR="00937908" w:rsidRPr="007C43BC" w:rsidRDefault="00937908" w:rsidP="00937908">
      <w:pPr>
        <w:pStyle w:val="recours"/>
        <w:ind w:left="0" w:right="0"/>
        <w:rPr>
          <w:rFonts w:ascii="Tahoma" w:hAnsi="Tahoma" w:cs="Tahoma"/>
          <w:color w:val="5F497A"/>
        </w:rPr>
      </w:pPr>
      <w:r w:rsidRPr="007C43BC">
        <w:rPr>
          <w:rFonts w:ascii="Tahoma" w:eastAsia="Calibri" w:hAnsi="Tahoma" w:cs="Tahoma"/>
          <w:color w:val="1F497D" w:themeColor="text2"/>
          <w:kern w:val="20"/>
          <w:lang w:eastAsia="fr-FR"/>
        </w:rPr>
        <w:t>Le Maire</w:t>
      </w:r>
      <w:r w:rsidRPr="007C43BC">
        <w:rPr>
          <w:rFonts w:ascii="Tahoma" w:hAnsi="Tahoma" w:cs="Tahoma"/>
          <w:color w:val="5F497A"/>
        </w:rPr>
        <w:t xml:space="preserve"> </w:t>
      </w:r>
      <w:r w:rsidRPr="00C74017">
        <w:rPr>
          <w:rFonts w:ascii="Tahoma" w:hAnsi="Tahoma" w:cs="Tahoma"/>
          <w:i/>
          <w:color w:val="00B0F0"/>
          <w:lang w:eastAsia="fr-FR"/>
        </w:rPr>
        <w:t>(ou le Président),</w:t>
      </w:r>
    </w:p>
    <w:p w14:paraId="06CF2861" w14:textId="3AD3110D" w:rsidR="00937908" w:rsidRPr="00B109B6" w:rsidRDefault="005D0A2B" w:rsidP="00937908">
      <w:pPr>
        <w:pStyle w:val="Paragraphedeliste"/>
        <w:numPr>
          <w:ilvl w:val="0"/>
          <w:numId w:val="13"/>
        </w:numPr>
        <w:spacing w:after="0" w:line="240" w:lineRule="auto"/>
        <w:rPr>
          <w:rFonts w:ascii="Tahoma" w:eastAsia="Calibri" w:hAnsi="Tahoma" w:cs="Tahoma"/>
          <w:color w:val="1F497D" w:themeColor="text2"/>
          <w:kern w:val="20"/>
          <w:sz w:val="16"/>
          <w:szCs w:val="16"/>
        </w:rPr>
      </w:pPr>
      <w:r w:rsidRPr="00B109B6">
        <w:rPr>
          <w:rFonts w:ascii="Tahoma" w:eastAsia="Calibri" w:hAnsi="Tahoma" w:cs="Tahoma"/>
          <w:color w:val="1F497D" w:themeColor="text2"/>
          <w:kern w:val="20"/>
          <w:sz w:val="16"/>
          <w:szCs w:val="16"/>
        </w:rPr>
        <w:t>Certifie</w:t>
      </w:r>
      <w:r w:rsidR="00937908" w:rsidRPr="00B109B6">
        <w:rPr>
          <w:rFonts w:ascii="Tahoma" w:eastAsia="Calibri" w:hAnsi="Tahoma" w:cs="Tahoma"/>
          <w:color w:val="1F497D" w:themeColor="text2"/>
          <w:kern w:val="20"/>
          <w:sz w:val="16"/>
          <w:szCs w:val="16"/>
        </w:rPr>
        <w:t xml:space="preserve"> le caractère exécutoire de cet acte</w:t>
      </w:r>
      <w:r w:rsidR="00842B3D">
        <w:rPr>
          <w:rFonts w:ascii="Tahoma" w:eastAsia="Calibri" w:hAnsi="Tahoma" w:cs="Tahoma"/>
          <w:color w:val="1F497D" w:themeColor="text2"/>
          <w:kern w:val="20"/>
          <w:sz w:val="16"/>
          <w:szCs w:val="16"/>
        </w:rPr>
        <w:t xml:space="preserve">, </w:t>
      </w:r>
      <w:r w:rsidR="00937908" w:rsidRPr="00B109B6">
        <w:rPr>
          <w:rFonts w:ascii="Tahoma" w:eastAsia="Calibri" w:hAnsi="Tahoma" w:cs="Tahoma"/>
          <w:color w:val="1F497D" w:themeColor="text2"/>
          <w:kern w:val="20"/>
          <w:sz w:val="16"/>
          <w:szCs w:val="16"/>
        </w:rPr>
        <w:t xml:space="preserve"> </w:t>
      </w:r>
    </w:p>
    <w:p w14:paraId="06CF2862" w14:textId="50D6E01A" w:rsidR="00937908" w:rsidRPr="00B109B6" w:rsidRDefault="005D0A2B" w:rsidP="00937908">
      <w:pPr>
        <w:pStyle w:val="recours"/>
        <w:numPr>
          <w:ilvl w:val="0"/>
          <w:numId w:val="12"/>
        </w:numPr>
        <w:ind w:right="0"/>
        <w:rPr>
          <w:rFonts w:ascii="Tahoma" w:eastAsia="Calibri" w:hAnsi="Tahoma" w:cs="Tahoma"/>
          <w:b/>
          <w:color w:val="1F497D" w:themeColor="text2"/>
          <w:kern w:val="20"/>
          <w:sz w:val="22"/>
          <w:szCs w:val="22"/>
          <w:u w:val="single"/>
          <w:lang w:eastAsia="fr-FR"/>
        </w:rPr>
      </w:pPr>
      <w:r w:rsidRPr="00B109B6">
        <w:rPr>
          <w:rFonts w:ascii="Tahoma" w:eastAsia="Calibri" w:hAnsi="Tahoma" w:cs="Tahoma"/>
          <w:color w:val="1F497D" w:themeColor="text2"/>
          <w:kern w:val="20"/>
          <w:lang w:eastAsia="fr-FR"/>
        </w:rPr>
        <w:lastRenderedPageBreak/>
        <w:t>Informe</w:t>
      </w:r>
      <w:r w:rsidR="00937908" w:rsidRPr="00B109B6">
        <w:rPr>
          <w:rFonts w:ascii="Tahoma" w:eastAsia="Calibri" w:hAnsi="Tahoma" w:cs="Tahoma"/>
          <w:color w:val="1F497D" w:themeColor="text2"/>
          <w:kern w:val="20"/>
          <w:lang w:eastAsia="fr-FR"/>
        </w:rPr>
        <w:t xml:space="preserve"> que celui-ci peut faire l’objet d’un recours pour excès de pouvoir auprès du tribunal administratif de Grenoble dans un délai de deux mois à compter </w:t>
      </w:r>
      <w:r w:rsidR="00937908">
        <w:rPr>
          <w:rFonts w:ascii="Tahoma" w:eastAsia="Calibri" w:hAnsi="Tahoma" w:cs="Tahoma"/>
          <w:color w:val="1F497D" w:themeColor="text2"/>
          <w:kern w:val="20"/>
          <w:lang w:eastAsia="fr-FR"/>
        </w:rPr>
        <w:t xml:space="preserve">de l’obtention de ce caractère </w:t>
      </w:r>
      <w:r w:rsidR="00842B3D">
        <w:rPr>
          <w:rFonts w:ascii="Tahoma" w:eastAsia="Calibri" w:hAnsi="Tahoma" w:cs="Tahoma"/>
          <w:color w:val="1F497D" w:themeColor="text2"/>
          <w:kern w:val="20"/>
          <w:lang w:eastAsia="fr-FR"/>
        </w:rPr>
        <w:t xml:space="preserve">exécutoire. </w:t>
      </w:r>
      <w:r w:rsidR="00937908" w:rsidRPr="00B109B6">
        <w:rPr>
          <w:rFonts w:ascii="Tahoma" w:eastAsia="Calibri" w:hAnsi="Tahoma" w:cs="Tahoma"/>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B109B6">
          <w:rPr>
            <w:rFonts w:ascii="Tahoma" w:eastAsia="Calibri" w:hAnsi="Tahoma" w:cs="Tahoma"/>
            <w:b/>
            <w:color w:val="1F497D" w:themeColor="text2"/>
            <w:kern w:val="20"/>
            <w:u w:val="single"/>
            <w:lang w:eastAsia="fr-FR"/>
          </w:rPr>
          <w:t>www.telerecours.fr</w:t>
        </w:r>
      </w:hyperlink>
    </w:p>
    <w:p w14:paraId="06CF2863" w14:textId="77777777" w:rsidR="00937908" w:rsidRDefault="00937908" w:rsidP="00A448C7">
      <w:pPr>
        <w:spacing w:after="0" w:line="240" w:lineRule="auto"/>
        <w:outlineLvl w:val="0"/>
        <w:rPr>
          <w:rFonts w:ascii="Tahoma" w:hAnsi="Tahoma" w:cs="Tahoma"/>
          <w:color w:val="365F91" w:themeColor="accent1" w:themeShade="BF"/>
          <w:kern w:val="20"/>
          <w:szCs w:val="22"/>
        </w:rPr>
      </w:pPr>
    </w:p>
    <w:p w14:paraId="06CF2864" w14:textId="77777777" w:rsidR="00F57B2B" w:rsidRDefault="00F57B2B" w:rsidP="00A448C7">
      <w:pPr>
        <w:spacing w:after="0" w:line="240" w:lineRule="auto"/>
        <w:outlineLvl w:val="0"/>
        <w:rPr>
          <w:rFonts w:ascii="Tahoma" w:hAnsi="Tahoma" w:cs="Tahoma"/>
          <w:color w:val="365F91" w:themeColor="accent1" w:themeShade="BF"/>
          <w:kern w:val="20"/>
          <w:szCs w:val="22"/>
        </w:rPr>
      </w:pPr>
    </w:p>
    <w:p w14:paraId="06CF2865" w14:textId="77777777" w:rsidR="007A0F13" w:rsidRPr="007B4C69" w:rsidRDefault="007A0F13" w:rsidP="00A448C7">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Transmis au représentant de l’Etat le : </w:t>
      </w:r>
      <w:r w:rsidRPr="005D0A2B">
        <w:rPr>
          <w:rFonts w:ascii="Tahoma" w:hAnsi="Tahoma" w:cs="Tahoma"/>
          <w:color w:val="00B0F0"/>
          <w:kern w:val="20"/>
          <w:sz w:val="20"/>
        </w:rPr>
        <w:t>……….</w:t>
      </w:r>
    </w:p>
    <w:p w14:paraId="0E195A50" w14:textId="4E73C596" w:rsidR="009A4A04" w:rsidRPr="004B0F32" w:rsidRDefault="007A0F13" w:rsidP="004B0F32">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Publié le : </w:t>
      </w:r>
      <w:r w:rsidRPr="005D0A2B">
        <w:rPr>
          <w:rFonts w:ascii="Tahoma" w:hAnsi="Tahoma" w:cs="Tahoma"/>
          <w:color w:val="00B0F0"/>
          <w:kern w:val="20"/>
          <w:sz w:val="20"/>
        </w:rPr>
        <w:t>………………</w:t>
      </w:r>
    </w:p>
    <w:sectPr w:rsidR="009A4A04" w:rsidRPr="004B0F32"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E675" w14:textId="77777777" w:rsidR="000E15C1" w:rsidRDefault="000E15C1" w:rsidP="00E27274">
      <w:pPr>
        <w:spacing w:after="0" w:line="240" w:lineRule="auto"/>
      </w:pPr>
      <w:r>
        <w:separator/>
      </w:r>
    </w:p>
  </w:endnote>
  <w:endnote w:type="continuationSeparator" w:id="0">
    <w:p w14:paraId="1D80CA03" w14:textId="77777777" w:rsidR="000E15C1" w:rsidRDefault="000E15C1" w:rsidP="00E27274">
      <w:pPr>
        <w:spacing w:after="0" w:line="240" w:lineRule="auto"/>
      </w:pPr>
      <w:r>
        <w:continuationSeparator/>
      </w:r>
    </w:p>
  </w:endnote>
  <w:endnote w:type="continuationNotice" w:id="1">
    <w:p w14:paraId="5B8B2948" w14:textId="77777777" w:rsidR="000E15C1" w:rsidRDefault="000E1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127D35F2"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3A63C" w14:textId="77777777" w:rsidR="000E15C1" w:rsidRDefault="000E15C1" w:rsidP="00E27274">
      <w:pPr>
        <w:spacing w:after="0" w:line="240" w:lineRule="auto"/>
      </w:pPr>
      <w:r>
        <w:separator/>
      </w:r>
    </w:p>
  </w:footnote>
  <w:footnote w:type="continuationSeparator" w:id="0">
    <w:p w14:paraId="163C02D4" w14:textId="77777777" w:rsidR="000E15C1" w:rsidRDefault="000E15C1" w:rsidP="00E27274">
      <w:pPr>
        <w:spacing w:after="0" w:line="240" w:lineRule="auto"/>
      </w:pPr>
      <w:r>
        <w:continuationSeparator/>
      </w:r>
    </w:p>
  </w:footnote>
  <w:footnote w:type="continuationNotice" w:id="1">
    <w:p w14:paraId="557AF443" w14:textId="77777777" w:rsidR="000E15C1" w:rsidRDefault="000E1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D86E22"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2"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3"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ONnw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" filled="f" stroked="f">
                <v:textbox style="layout-flow:vertical;mso-layout-flow-alt:bottom-to-top">
                  <w:txbxContent>
                    <w:p w14:paraId="06CF288F" w14:textId="7777777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5pt;height:7.5pt" o:bullet="t">
        <v:imagedata r:id="rId1" o:title="BD14565_"/>
      </v:shape>
    </w:pict>
  </w:numPicBullet>
  <w:numPicBullet w:numPicBulletId="1">
    <w:pict>
      <v:shape id="_x0000_i1056" type="#_x0000_t75" style="width:7.5pt;height:7.5pt" o:bullet="t">
        <v:imagedata r:id="rId2" o:title="BD14515_"/>
      </v:shape>
    </w:pict>
  </w:numPicBullet>
  <w:abstractNum w:abstractNumId="0"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6EC2D00"/>
    <w:multiLevelType w:val="hybridMultilevel"/>
    <w:tmpl w:val="2CF06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727AD"/>
    <w:multiLevelType w:val="hybridMultilevel"/>
    <w:tmpl w:val="4EC652F4"/>
    <w:lvl w:ilvl="0" w:tplc="7EB692E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6" w15:restartNumberingAfterBreak="0">
    <w:nsid w:val="3E871531"/>
    <w:multiLevelType w:val="hybridMultilevel"/>
    <w:tmpl w:val="72CECF28"/>
    <w:lvl w:ilvl="0" w:tplc="3328DED0">
      <w:start w:val="5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0"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06EB2"/>
    <w:multiLevelType w:val="hybridMultilevel"/>
    <w:tmpl w:val="6CC66C9C"/>
    <w:lvl w:ilvl="0" w:tplc="0486F9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305F5A"/>
    <w:multiLevelType w:val="hybridMultilevel"/>
    <w:tmpl w:val="D796197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72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
  </w:num>
  <w:num w:numId="4">
    <w:abstractNumId w:val="18"/>
  </w:num>
  <w:num w:numId="5">
    <w:abstractNumId w:val="29"/>
  </w:num>
  <w:num w:numId="6">
    <w:abstractNumId w:val="5"/>
  </w:num>
  <w:num w:numId="7">
    <w:abstractNumId w:val="4"/>
  </w:num>
  <w:num w:numId="8">
    <w:abstractNumId w:val="26"/>
  </w:num>
  <w:num w:numId="9">
    <w:abstractNumId w:val="21"/>
  </w:num>
  <w:num w:numId="10">
    <w:abstractNumId w:val="23"/>
  </w:num>
  <w:num w:numId="11">
    <w:abstractNumId w:val="9"/>
  </w:num>
  <w:num w:numId="12">
    <w:abstractNumId w:val="11"/>
  </w:num>
  <w:num w:numId="13">
    <w:abstractNumId w:val="13"/>
  </w:num>
  <w:num w:numId="14">
    <w:abstractNumId w:val="15"/>
  </w:num>
  <w:num w:numId="15">
    <w:abstractNumId w:val="10"/>
  </w:num>
  <w:num w:numId="16">
    <w:abstractNumId w:val="12"/>
  </w:num>
  <w:num w:numId="17">
    <w:abstractNumId w:val="27"/>
  </w:num>
  <w:num w:numId="18">
    <w:abstractNumId w:val="8"/>
  </w:num>
  <w:num w:numId="19">
    <w:abstractNumId w:val="25"/>
  </w:num>
  <w:num w:numId="20">
    <w:abstractNumId w:val="22"/>
  </w:num>
  <w:num w:numId="21">
    <w:abstractNumId w:val="20"/>
  </w:num>
  <w:num w:numId="22">
    <w:abstractNumId w:val="14"/>
  </w:num>
  <w:num w:numId="23">
    <w:abstractNumId w:val="6"/>
  </w:num>
  <w:num w:numId="24">
    <w:abstractNumId w:val="24"/>
  </w:num>
  <w:num w:numId="25">
    <w:abstractNumId w:val="32"/>
  </w:num>
  <w:num w:numId="26">
    <w:abstractNumId w:val="17"/>
  </w:num>
  <w:num w:numId="27">
    <w:abstractNumId w:val="19"/>
  </w:num>
  <w:num w:numId="28">
    <w:abstractNumId w:val="0"/>
  </w:num>
  <w:num w:numId="29">
    <w:abstractNumId w:val="28"/>
  </w:num>
  <w:num w:numId="30">
    <w:abstractNumId w:val="16"/>
  </w:num>
  <w:num w:numId="31">
    <w:abstractNumId w:val="2"/>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3415"/>
    <w:rsid w:val="00024D20"/>
    <w:rsid w:val="00036EAA"/>
    <w:rsid w:val="000523EB"/>
    <w:rsid w:val="000540A5"/>
    <w:rsid w:val="000617BC"/>
    <w:rsid w:val="00061B4E"/>
    <w:rsid w:val="00067113"/>
    <w:rsid w:val="000672A8"/>
    <w:rsid w:val="0007072D"/>
    <w:rsid w:val="00081F9A"/>
    <w:rsid w:val="000826FB"/>
    <w:rsid w:val="000C60CF"/>
    <w:rsid w:val="000D1E61"/>
    <w:rsid w:val="000D66FB"/>
    <w:rsid w:val="000D6847"/>
    <w:rsid w:val="000E0521"/>
    <w:rsid w:val="000E145B"/>
    <w:rsid w:val="000E15C1"/>
    <w:rsid w:val="000E240C"/>
    <w:rsid w:val="000E7A9B"/>
    <w:rsid w:val="000F19D6"/>
    <w:rsid w:val="00101B14"/>
    <w:rsid w:val="00104900"/>
    <w:rsid w:val="00112575"/>
    <w:rsid w:val="001169AA"/>
    <w:rsid w:val="00120FA4"/>
    <w:rsid w:val="00121C1D"/>
    <w:rsid w:val="0012378C"/>
    <w:rsid w:val="0012726E"/>
    <w:rsid w:val="001305E8"/>
    <w:rsid w:val="0014085B"/>
    <w:rsid w:val="00152E31"/>
    <w:rsid w:val="00156684"/>
    <w:rsid w:val="00156BC9"/>
    <w:rsid w:val="001650B4"/>
    <w:rsid w:val="00187ABA"/>
    <w:rsid w:val="001921C3"/>
    <w:rsid w:val="001A2B9B"/>
    <w:rsid w:val="001A33F8"/>
    <w:rsid w:val="001B1638"/>
    <w:rsid w:val="001B3233"/>
    <w:rsid w:val="001C7386"/>
    <w:rsid w:val="001D1CA5"/>
    <w:rsid w:val="001F1E65"/>
    <w:rsid w:val="00200EA8"/>
    <w:rsid w:val="002118EC"/>
    <w:rsid w:val="00224400"/>
    <w:rsid w:val="00230A2F"/>
    <w:rsid w:val="00234D3A"/>
    <w:rsid w:val="002355F9"/>
    <w:rsid w:val="002440DE"/>
    <w:rsid w:val="0024452C"/>
    <w:rsid w:val="002670C7"/>
    <w:rsid w:val="0027021D"/>
    <w:rsid w:val="00273D60"/>
    <w:rsid w:val="0027703E"/>
    <w:rsid w:val="00295234"/>
    <w:rsid w:val="002A2ECC"/>
    <w:rsid w:val="002A7B6F"/>
    <w:rsid w:val="002B02B4"/>
    <w:rsid w:val="002C2864"/>
    <w:rsid w:val="002C66F5"/>
    <w:rsid w:val="002D0FA5"/>
    <w:rsid w:val="002D174B"/>
    <w:rsid w:val="002D741F"/>
    <w:rsid w:val="002E7D34"/>
    <w:rsid w:val="002F5DCB"/>
    <w:rsid w:val="002F69CC"/>
    <w:rsid w:val="00300E86"/>
    <w:rsid w:val="003016DB"/>
    <w:rsid w:val="0030239B"/>
    <w:rsid w:val="003035E2"/>
    <w:rsid w:val="00306665"/>
    <w:rsid w:val="00311180"/>
    <w:rsid w:val="00312FD3"/>
    <w:rsid w:val="0031372B"/>
    <w:rsid w:val="0031578F"/>
    <w:rsid w:val="00316450"/>
    <w:rsid w:val="00316EB6"/>
    <w:rsid w:val="00317335"/>
    <w:rsid w:val="00317724"/>
    <w:rsid w:val="003200A7"/>
    <w:rsid w:val="00321B4C"/>
    <w:rsid w:val="0032380E"/>
    <w:rsid w:val="003259A8"/>
    <w:rsid w:val="0033110C"/>
    <w:rsid w:val="00341BF1"/>
    <w:rsid w:val="00345603"/>
    <w:rsid w:val="00347E9F"/>
    <w:rsid w:val="0035019F"/>
    <w:rsid w:val="003562D4"/>
    <w:rsid w:val="003605F8"/>
    <w:rsid w:val="00363A20"/>
    <w:rsid w:val="003738F4"/>
    <w:rsid w:val="0037634F"/>
    <w:rsid w:val="00394E0E"/>
    <w:rsid w:val="003A0E0F"/>
    <w:rsid w:val="003A4757"/>
    <w:rsid w:val="003A4CF2"/>
    <w:rsid w:val="003B0083"/>
    <w:rsid w:val="003B23C9"/>
    <w:rsid w:val="003B427A"/>
    <w:rsid w:val="003C28C8"/>
    <w:rsid w:val="003C45F6"/>
    <w:rsid w:val="003D427B"/>
    <w:rsid w:val="003D7986"/>
    <w:rsid w:val="003E04AF"/>
    <w:rsid w:val="003F1727"/>
    <w:rsid w:val="003F201A"/>
    <w:rsid w:val="003F3694"/>
    <w:rsid w:val="00405868"/>
    <w:rsid w:val="00414265"/>
    <w:rsid w:val="004143FD"/>
    <w:rsid w:val="004268E6"/>
    <w:rsid w:val="00435E08"/>
    <w:rsid w:val="004449C1"/>
    <w:rsid w:val="004546AF"/>
    <w:rsid w:val="00454E48"/>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201F"/>
    <w:rsid w:val="004C6047"/>
    <w:rsid w:val="004C6127"/>
    <w:rsid w:val="004E5C2D"/>
    <w:rsid w:val="004E612D"/>
    <w:rsid w:val="004F2F68"/>
    <w:rsid w:val="00506FF3"/>
    <w:rsid w:val="005113C4"/>
    <w:rsid w:val="0051242B"/>
    <w:rsid w:val="0051280B"/>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847B0"/>
    <w:rsid w:val="0058505E"/>
    <w:rsid w:val="00585FD9"/>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229F6"/>
    <w:rsid w:val="00624C14"/>
    <w:rsid w:val="00625E80"/>
    <w:rsid w:val="00633073"/>
    <w:rsid w:val="0064254F"/>
    <w:rsid w:val="0065224F"/>
    <w:rsid w:val="00653DB6"/>
    <w:rsid w:val="006572D6"/>
    <w:rsid w:val="00664C5D"/>
    <w:rsid w:val="00672108"/>
    <w:rsid w:val="00673135"/>
    <w:rsid w:val="0067423F"/>
    <w:rsid w:val="00686264"/>
    <w:rsid w:val="006878BA"/>
    <w:rsid w:val="00694F0E"/>
    <w:rsid w:val="0069592A"/>
    <w:rsid w:val="00696A18"/>
    <w:rsid w:val="006976DF"/>
    <w:rsid w:val="006A0934"/>
    <w:rsid w:val="006A2437"/>
    <w:rsid w:val="006A27CA"/>
    <w:rsid w:val="006A4B59"/>
    <w:rsid w:val="006A7A10"/>
    <w:rsid w:val="006B6EE6"/>
    <w:rsid w:val="006B7C8C"/>
    <w:rsid w:val="006C034B"/>
    <w:rsid w:val="006C0DBB"/>
    <w:rsid w:val="006C3DB4"/>
    <w:rsid w:val="006C56E5"/>
    <w:rsid w:val="006C5717"/>
    <w:rsid w:val="006D0055"/>
    <w:rsid w:val="006D1F69"/>
    <w:rsid w:val="006D3A1F"/>
    <w:rsid w:val="006E00EE"/>
    <w:rsid w:val="006E5045"/>
    <w:rsid w:val="006E598B"/>
    <w:rsid w:val="006F479D"/>
    <w:rsid w:val="006F5128"/>
    <w:rsid w:val="006F548E"/>
    <w:rsid w:val="006F7994"/>
    <w:rsid w:val="00711A70"/>
    <w:rsid w:val="00724830"/>
    <w:rsid w:val="00731877"/>
    <w:rsid w:val="00731B13"/>
    <w:rsid w:val="00731D6B"/>
    <w:rsid w:val="00734416"/>
    <w:rsid w:val="00735187"/>
    <w:rsid w:val="00741FDC"/>
    <w:rsid w:val="00742F62"/>
    <w:rsid w:val="00743313"/>
    <w:rsid w:val="00744B1D"/>
    <w:rsid w:val="00764B27"/>
    <w:rsid w:val="00781D0D"/>
    <w:rsid w:val="0078478F"/>
    <w:rsid w:val="00785733"/>
    <w:rsid w:val="00797800"/>
    <w:rsid w:val="007A013C"/>
    <w:rsid w:val="007A0F13"/>
    <w:rsid w:val="007A784B"/>
    <w:rsid w:val="007B2533"/>
    <w:rsid w:val="007B4C69"/>
    <w:rsid w:val="007C13B6"/>
    <w:rsid w:val="007C3E78"/>
    <w:rsid w:val="007C3FCF"/>
    <w:rsid w:val="007E4093"/>
    <w:rsid w:val="007E5714"/>
    <w:rsid w:val="007E613B"/>
    <w:rsid w:val="007F04A7"/>
    <w:rsid w:val="007F419D"/>
    <w:rsid w:val="007F4C20"/>
    <w:rsid w:val="00800047"/>
    <w:rsid w:val="008000C7"/>
    <w:rsid w:val="008077AC"/>
    <w:rsid w:val="008231AE"/>
    <w:rsid w:val="00823B4A"/>
    <w:rsid w:val="00833FAA"/>
    <w:rsid w:val="00834E4E"/>
    <w:rsid w:val="008357EE"/>
    <w:rsid w:val="00842B3D"/>
    <w:rsid w:val="00843221"/>
    <w:rsid w:val="0084412C"/>
    <w:rsid w:val="0085220D"/>
    <w:rsid w:val="00852558"/>
    <w:rsid w:val="00853C13"/>
    <w:rsid w:val="00865397"/>
    <w:rsid w:val="00872E24"/>
    <w:rsid w:val="008733BE"/>
    <w:rsid w:val="00875A1A"/>
    <w:rsid w:val="0088254C"/>
    <w:rsid w:val="00885845"/>
    <w:rsid w:val="00892223"/>
    <w:rsid w:val="0089368B"/>
    <w:rsid w:val="00895F26"/>
    <w:rsid w:val="008967CE"/>
    <w:rsid w:val="008976BF"/>
    <w:rsid w:val="008A1380"/>
    <w:rsid w:val="008A42C3"/>
    <w:rsid w:val="008B0081"/>
    <w:rsid w:val="008B01C8"/>
    <w:rsid w:val="008C6DCE"/>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7908"/>
    <w:rsid w:val="00950776"/>
    <w:rsid w:val="009545EE"/>
    <w:rsid w:val="00960606"/>
    <w:rsid w:val="00961093"/>
    <w:rsid w:val="009629B2"/>
    <w:rsid w:val="009864FE"/>
    <w:rsid w:val="009A4A04"/>
    <w:rsid w:val="009C1BC5"/>
    <w:rsid w:val="009C31CB"/>
    <w:rsid w:val="009C4066"/>
    <w:rsid w:val="009D1A9E"/>
    <w:rsid w:val="009D284A"/>
    <w:rsid w:val="009D4A09"/>
    <w:rsid w:val="009D56A5"/>
    <w:rsid w:val="009D6B9A"/>
    <w:rsid w:val="009D75DA"/>
    <w:rsid w:val="009F6243"/>
    <w:rsid w:val="009F77D2"/>
    <w:rsid w:val="00A15C13"/>
    <w:rsid w:val="00A215FD"/>
    <w:rsid w:val="00A24B37"/>
    <w:rsid w:val="00A26C03"/>
    <w:rsid w:val="00A325EE"/>
    <w:rsid w:val="00A337C2"/>
    <w:rsid w:val="00A37282"/>
    <w:rsid w:val="00A37575"/>
    <w:rsid w:val="00A41580"/>
    <w:rsid w:val="00A424B4"/>
    <w:rsid w:val="00A431D7"/>
    <w:rsid w:val="00A448C7"/>
    <w:rsid w:val="00A51CE4"/>
    <w:rsid w:val="00A55DB8"/>
    <w:rsid w:val="00A60B25"/>
    <w:rsid w:val="00A64509"/>
    <w:rsid w:val="00A74E09"/>
    <w:rsid w:val="00A82D77"/>
    <w:rsid w:val="00A84980"/>
    <w:rsid w:val="00A924F9"/>
    <w:rsid w:val="00A937FE"/>
    <w:rsid w:val="00AA2380"/>
    <w:rsid w:val="00AB0E99"/>
    <w:rsid w:val="00AB10EC"/>
    <w:rsid w:val="00AB1E9D"/>
    <w:rsid w:val="00AC14A1"/>
    <w:rsid w:val="00AC681E"/>
    <w:rsid w:val="00AD34DF"/>
    <w:rsid w:val="00AD54C8"/>
    <w:rsid w:val="00AD7E6C"/>
    <w:rsid w:val="00AE0766"/>
    <w:rsid w:val="00AF1999"/>
    <w:rsid w:val="00AF6572"/>
    <w:rsid w:val="00B10CD8"/>
    <w:rsid w:val="00B13FC8"/>
    <w:rsid w:val="00B166FB"/>
    <w:rsid w:val="00B25A2E"/>
    <w:rsid w:val="00B302CB"/>
    <w:rsid w:val="00B30716"/>
    <w:rsid w:val="00B3199F"/>
    <w:rsid w:val="00B37256"/>
    <w:rsid w:val="00B57986"/>
    <w:rsid w:val="00B62B32"/>
    <w:rsid w:val="00B719B5"/>
    <w:rsid w:val="00B72A6E"/>
    <w:rsid w:val="00B806D5"/>
    <w:rsid w:val="00B81B45"/>
    <w:rsid w:val="00B84344"/>
    <w:rsid w:val="00B84654"/>
    <w:rsid w:val="00B859D1"/>
    <w:rsid w:val="00B85D06"/>
    <w:rsid w:val="00B9411F"/>
    <w:rsid w:val="00B9549A"/>
    <w:rsid w:val="00BA2F59"/>
    <w:rsid w:val="00BA32B7"/>
    <w:rsid w:val="00BA7CFE"/>
    <w:rsid w:val="00BB0041"/>
    <w:rsid w:val="00BC60A8"/>
    <w:rsid w:val="00BD6387"/>
    <w:rsid w:val="00BE0012"/>
    <w:rsid w:val="00BE2499"/>
    <w:rsid w:val="00BF0EC1"/>
    <w:rsid w:val="00C00BA0"/>
    <w:rsid w:val="00C102DE"/>
    <w:rsid w:val="00C12D6A"/>
    <w:rsid w:val="00C139E8"/>
    <w:rsid w:val="00C16C59"/>
    <w:rsid w:val="00C257E3"/>
    <w:rsid w:val="00C262F8"/>
    <w:rsid w:val="00C3591C"/>
    <w:rsid w:val="00C366F1"/>
    <w:rsid w:val="00C43178"/>
    <w:rsid w:val="00C50E34"/>
    <w:rsid w:val="00C525EC"/>
    <w:rsid w:val="00C62977"/>
    <w:rsid w:val="00C74017"/>
    <w:rsid w:val="00C741F9"/>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C1FF5"/>
    <w:rsid w:val="00CD1B3E"/>
    <w:rsid w:val="00CD314E"/>
    <w:rsid w:val="00CF1532"/>
    <w:rsid w:val="00CF54F8"/>
    <w:rsid w:val="00D15D66"/>
    <w:rsid w:val="00D352A5"/>
    <w:rsid w:val="00D41CAA"/>
    <w:rsid w:val="00D44124"/>
    <w:rsid w:val="00D53CEB"/>
    <w:rsid w:val="00D54E63"/>
    <w:rsid w:val="00D562F8"/>
    <w:rsid w:val="00D6002B"/>
    <w:rsid w:val="00D60D81"/>
    <w:rsid w:val="00D61E66"/>
    <w:rsid w:val="00D62B9C"/>
    <w:rsid w:val="00D651B7"/>
    <w:rsid w:val="00D701AE"/>
    <w:rsid w:val="00D719FD"/>
    <w:rsid w:val="00D75759"/>
    <w:rsid w:val="00D76268"/>
    <w:rsid w:val="00D85EED"/>
    <w:rsid w:val="00DA0E99"/>
    <w:rsid w:val="00DA65FD"/>
    <w:rsid w:val="00DA66D2"/>
    <w:rsid w:val="00DA7498"/>
    <w:rsid w:val="00DB3084"/>
    <w:rsid w:val="00DB5329"/>
    <w:rsid w:val="00DC031A"/>
    <w:rsid w:val="00DC3775"/>
    <w:rsid w:val="00DD637E"/>
    <w:rsid w:val="00DD7673"/>
    <w:rsid w:val="00DE0206"/>
    <w:rsid w:val="00DE0EF3"/>
    <w:rsid w:val="00DE12AC"/>
    <w:rsid w:val="00DE3851"/>
    <w:rsid w:val="00DE4178"/>
    <w:rsid w:val="00DE45E4"/>
    <w:rsid w:val="00DF7665"/>
    <w:rsid w:val="00E00428"/>
    <w:rsid w:val="00E042B0"/>
    <w:rsid w:val="00E104AA"/>
    <w:rsid w:val="00E16CC2"/>
    <w:rsid w:val="00E23C47"/>
    <w:rsid w:val="00E25035"/>
    <w:rsid w:val="00E27274"/>
    <w:rsid w:val="00E325B4"/>
    <w:rsid w:val="00E33830"/>
    <w:rsid w:val="00E43984"/>
    <w:rsid w:val="00E45463"/>
    <w:rsid w:val="00E53CAC"/>
    <w:rsid w:val="00E6352D"/>
    <w:rsid w:val="00E675FA"/>
    <w:rsid w:val="00E70603"/>
    <w:rsid w:val="00E70892"/>
    <w:rsid w:val="00E72FD3"/>
    <w:rsid w:val="00E748E8"/>
    <w:rsid w:val="00E7507F"/>
    <w:rsid w:val="00E75959"/>
    <w:rsid w:val="00E84F67"/>
    <w:rsid w:val="00E962DA"/>
    <w:rsid w:val="00EA123E"/>
    <w:rsid w:val="00EA4CE8"/>
    <w:rsid w:val="00EB0B4F"/>
    <w:rsid w:val="00EB4DAD"/>
    <w:rsid w:val="00EC0E3E"/>
    <w:rsid w:val="00ED117C"/>
    <w:rsid w:val="00ED168D"/>
    <w:rsid w:val="00ED430A"/>
    <w:rsid w:val="00EE2864"/>
    <w:rsid w:val="00EF10E9"/>
    <w:rsid w:val="00EF17C5"/>
    <w:rsid w:val="00EF78B2"/>
    <w:rsid w:val="00F002E1"/>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4911"/>
    <w:rsid w:val="00FA51EB"/>
    <w:rsid w:val="00FC12EF"/>
    <w:rsid w:val="00FD07CB"/>
    <w:rsid w:val="00FD2C4E"/>
    <w:rsid w:val="00FD2E94"/>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734416"/>
    <w:rPr>
      <w:rFonts w:ascii="Tahoma" w:hAnsi="Tahoma"/>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line="240" w:lineRule="auto"/>
    </w:pPr>
    <w:rPr>
      <w:b/>
      <w:sz w:val="20"/>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line="240" w:lineRule="auto"/>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pPr>
      <w:spacing w:line="240" w:lineRule="auto"/>
    </w:pPr>
    <w:rPr>
      <w:sz w:val="20"/>
    </w:rPr>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1083561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182159689">
      <w:bodyDiv w:val="1"/>
      <w:marLeft w:val="0"/>
      <w:marRight w:val="0"/>
      <w:marTop w:val="0"/>
      <w:marBottom w:val="0"/>
      <w:divBdr>
        <w:top w:val="none" w:sz="0" w:space="0" w:color="auto"/>
        <w:left w:val="none" w:sz="0" w:space="0" w:color="auto"/>
        <w:bottom w:val="none" w:sz="0" w:space="0" w:color="auto"/>
        <w:right w:val="none" w:sz="0" w:space="0" w:color="auto"/>
      </w:divBdr>
    </w:div>
    <w:div w:id="1449664143">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98782-EE2F-40DC-A8FB-65B492BF91C5}">
  <ds:schemaRef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cac6c717-0427-41df-8cbf-34a1150a5cf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4.xml><?xml version="1.0" encoding="utf-8"?>
<ds:datastoreItem xmlns:ds="http://schemas.openxmlformats.org/officeDocument/2006/customXml" ds:itemID="{06D80366-490F-43F8-8DD8-38E0C778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850</Words>
  <Characters>4678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BELMONT Théo</cp:lastModifiedBy>
  <cp:revision>11</cp:revision>
  <cp:lastPrinted>2019-02-22T10:27:00Z</cp:lastPrinted>
  <dcterms:created xsi:type="dcterms:W3CDTF">2022-07-25T10:25:00Z</dcterms:created>
  <dcterms:modified xsi:type="dcterms:W3CDTF">2022-12-14T10:59:00Z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