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B9542AE" w:rsidR="00E27274" w:rsidRPr="00AC681E" w:rsidRDefault="00C85E37"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noProof/>
        </w:rPr>
        <w:drawing>
          <wp:anchor distT="0" distB="0" distL="114300" distR="114300" simplePos="0" relativeHeight="251660293" behindDoc="0" locked="0" layoutInCell="1" allowOverlap="1" wp14:anchorId="190D6925" wp14:editId="6C5A65F0">
            <wp:simplePos x="0" y="0"/>
            <wp:positionH relativeFrom="column">
              <wp:posOffset>-95250</wp:posOffset>
            </wp:positionH>
            <wp:positionV relativeFrom="paragraph">
              <wp:posOffset>-419735</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0029416D">
        <w:rPr>
          <w:rFonts w:cs="Tahoma"/>
          <w:b/>
          <w:noProof/>
          <w:kern w:val="20"/>
        </w:rPr>
        <mc:AlternateContent>
          <mc:Choice Requires="wps">
            <w:drawing>
              <wp:anchor distT="0" distB="0" distL="114300" distR="114300" simplePos="0" relativeHeight="251658240" behindDoc="0" locked="0" layoutInCell="1" allowOverlap="1" wp14:anchorId="06CF2872" wp14:editId="79E2BB9B">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67601DD4" w:rsidR="00147CA8" w:rsidRPr="005F2619" w:rsidRDefault="00147CA8"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Modèle</w:t>
                            </w:r>
                            <w:r w:rsidR="00347EE8">
                              <w:rPr>
                                <w:rFonts w:ascii="Lucida Sans Unicode" w:hAnsi="Lucida Sans Unicode" w:cs="Lucida Sans Unicode"/>
                                <w:i/>
                                <w:color w:val="C0504D" w:themeColor="accent2"/>
                                <w:kern w:val="20"/>
                                <w:sz w:val="18"/>
                                <w:szCs w:val="18"/>
                              </w:rPr>
                              <w:t xml:space="preserve"> créé en novembre</w:t>
                            </w:r>
                            <w:r>
                              <w:rPr>
                                <w:rFonts w:ascii="Lucida Sans Unicode" w:hAnsi="Lucida Sans Unicode" w:cs="Lucida Sans Unicode"/>
                                <w:i/>
                                <w:color w:val="C0504D" w:themeColor="accent2"/>
                                <w:kern w:val="20"/>
                                <w:sz w:val="18"/>
                                <w:szCs w:val="18"/>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67601DD4" w:rsidR="00147CA8" w:rsidRPr="005F2619" w:rsidRDefault="00147CA8"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Modèle</w:t>
                      </w:r>
                      <w:r w:rsidR="00347EE8">
                        <w:rPr>
                          <w:rFonts w:ascii="Lucida Sans Unicode" w:hAnsi="Lucida Sans Unicode" w:cs="Lucida Sans Unicode"/>
                          <w:i/>
                          <w:color w:val="C0504D" w:themeColor="accent2"/>
                          <w:kern w:val="20"/>
                          <w:sz w:val="18"/>
                          <w:szCs w:val="18"/>
                        </w:rPr>
                        <w:t xml:space="preserve"> créé en novembre</w:t>
                      </w:r>
                      <w:r>
                        <w:rPr>
                          <w:rFonts w:ascii="Lucida Sans Unicode" w:hAnsi="Lucida Sans Unicode" w:cs="Lucida Sans Unicode"/>
                          <w:i/>
                          <w:color w:val="C0504D" w:themeColor="accent2"/>
                          <w:kern w:val="20"/>
                          <w:sz w:val="18"/>
                          <w:szCs w:val="18"/>
                        </w:rPr>
                        <w:t xml:space="preserve"> 2023)</w:t>
                      </w:r>
                    </w:p>
                  </w:txbxContent>
                </v:textbox>
              </v:shape>
            </w:pict>
          </mc:Fallback>
        </mc:AlternateContent>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369ED433" w:rsidR="00C525EC" w:rsidRPr="00747BB3" w:rsidRDefault="008F4AFF" w:rsidP="004C21FE">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4"/>
          <w:u w:val="single"/>
        </w:rPr>
      </w:pPr>
      <w:r>
        <w:rPr>
          <w:rFonts w:cs="Tahoma"/>
          <w:b/>
          <w:kern w:val="20"/>
          <w:sz w:val="24"/>
          <w:szCs w:val="24"/>
          <w:u w:val="single"/>
        </w:rPr>
        <w:t>Instaurant une prime de pouvoir d’achat exceptionnelle</w:t>
      </w:r>
    </w:p>
    <w:p w14:paraId="50CF709D" w14:textId="77777777" w:rsidR="004C21FE" w:rsidRPr="004C21FE" w:rsidRDefault="004C21FE" w:rsidP="004C21FE">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u w:val="single"/>
        </w:rPr>
      </w:pPr>
    </w:p>
    <w:p w14:paraId="06CF2825" w14:textId="1087E79B" w:rsidR="00E27274" w:rsidRPr="00DC3775" w:rsidRDefault="00E27274" w:rsidP="00A448C7">
      <w:pPr>
        <w:spacing w:after="0"/>
        <w:ind w:left="4275"/>
        <w:rPr>
          <w:rFonts w:cs="Tahoma"/>
          <w:caps/>
          <w:color w:val="5F497A"/>
          <w:kern w:val="20"/>
          <w:szCs w:val="22"/>
        </w:rPr>
      </w:pPr>
    </w:p>
    <w:p w14:paraId="06CF2826" w14:textId="0BF0C339" w:rsidR="000617BC" w:rsidRPr="00DC3775" w:rsidRDefault="004C21FE"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3918DA0E">
                <wp:simplePos x="0" y="0"/>
                <wp:positionH relativeFrom="column">
                  <wp:posOffset>1574165</wp:posOffset>
                </wp:positionH>
                <wp:positionV relativeFrom="paragraph">
                  <wp:posOffset>114935</wp:posOffset>
                </wp:positionV>
                <wp:extent cx="1389380" cy="916305"/>
                <wp:effectExtent l="0" t="0" r="20320" b="1714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1630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624F6076" w:rsidR="00147CA8" w:rsidRPr="00DC3775" w:rsidRDefault="00147CA8" w:rsidP="00F51356">
                            <w:pPr>
                              <w:spacing w:after="0" w:line="100" w:lineRule="atLeast"/>
                              <w:jc w:val="center"/>
                              <w:rPr>
                                <w:rFonts w:eastAsia="Calibri" w:cs="Arial"/>
                                <w:i/>
                                <w:color w:val="00B0F0"/>
                                <w:szCs w:val="16"/>
                                <w:lang w:eastAsia="en-US"/>
                              </w:rPr>
                            </w:pPr>
                            <w:r>
                              <w:rPr>
                                <w:rFonts w:cs="Tahoma"/>
                                <w:i/>
                                <w:color w:val="00B0F0"/>
                                <w:sz w:val="18"/>
                                <w:szCs w:val="18"/>
                              </w:rPr>
                              <w:sym w:font="Wingdings" w:char="F0B5"/>
                            </w:r>
                            <w:r w:rsidRPr="00DC3775">
                              <w:rPr>
                                <w:rFonts w:cs="Tahoma"/>
                                <w:i/>
                                <w:color w:val="00B0F0"/>
                                <w:sz w:val="18"/>
                                <w:szCs w:val="18"/>
                              </w:rPr>
                              <w:t>Les éléments en italique bleu ne doivent être conservés que si la collectivité ou l’agent sont concernés</w:t>
                            </w:r>
                          </w:p>
                          <w:p w14:paraId="06CF288D" w14:textId="77777777" w:rsidR="00147CA8" w:rsidRDefault="00147CA8"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23.95pt;margin-top:9.05pt;width:109.4pt;height:7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" fillcolor="#f2f2f2 [3052]" strokecolor="#bfbfbf [2412]" strokeweight=".25pt">
                <v:textbox>
                  <w:txbxContent>
                    <w:p w14:paraId="06CF288C" w14:textId="624F6076" w:rsidR="00147CA8" w:rsidRPr="00DC3775" w:rsidRDefault="00147CA8" w:rsidP="00F51356">
                      <w:pPr>
                        <w:spacing w:after="0" w:line="100" w:lineRule="atLeast"/>
                        <w:jc w:val="center"/>
                        <w:rPr>
                          <w:rFonts w:eastAsia="Calibri" w:cs="Arial"/>
                          <w:i/>
                          <w:color w:val="00B0F0"/>
                          <w:szCs w:val="16"/>
                          <w:lang w:eastAsia="en-US"/>
                        </w:rPr>
                      </w:pPr>
                      <w:r>
                        <w:rPr>
                          <w:rFonts w:cs="Tahoma"/>
                          <w:i/>
                          <w:color w:val="00B0F0"/>
                          <w:sz w:val="18"/>
                          <w:szCs w:val="18"/>
                        </w:rPr>
                        <w:sym w:font="Wingdings" w:char="F0B5"/>
                      </w:r>
                      <w:r w:rsidRPr="00DC3775">
                        <w:rPr>
                          <w:rFonts w:cs="Tahoma"/>
                          <w:i/>
                          <w:color w:val="00B0F0"/>
                          <w:sz w:val="18"/>
                          <w:szCs w:val="18"/>
                        </w:rPr>
                        <w:t>Les éléments en italique bleu ne doivent être conservés que si la collectivité ou l’agent sont concernés</w:t>
                      </w:r>
                    </w:p>
                    <w:p w14:paraId="06CF288D" w14:textId="77777777" w:rsidR="00147CA8" w:rsidRDefault="00147CA8" w:rsidP="00E27274"/>
                  </w:txbxContent>
                </v:textbox>
              </v:shape>
            </w:pict>
          </mc:Fallback>
        </mc:AlternateContent>
      </w:r>
    </w:p>
    <w:p w14:paraId="06CF2827" w14:textId="2E7E29DD" w:rsidR="000617BC" w:rsidRPr="00DC3775" w:rsidRDefault="00F51356"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62341" behindDoc="0" locked="0" layoutInCell="1" allowOverlap="1" wp14:anchorId="25199F92" wp14:editId="4F265456">
                <wp:simplePos x="0" y="0"/>
                <wp:positionH relativeFrom="column">
                  <wp:posOffset>-1270</wp:posOffset>
                </wp:positionH>
                <wp:positionV relativeFrom="paragraph">
                  <wp:posOffset>18666</wp:posOffset>
                </wp:positionV>
                <wp:extent cx="1389380" cy="767751"/>
                <wp:effectExtent l="0" t="0" r="20320" b="13335"/>
                <wp:wrapNone/>
                <wp:docPr id="178384964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767751"/>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23A4DCF4" w14:textId="1A347FB6" w:rsidR="00F51356" w:rsidRPr="00F51356" w:rsidRDefault="00F51356" w:rsidP="00F51356">
                            <w:pPr>
                              <w:spacing w:after="0" w:line="100" w:lineRule="atLeast"/>
                              <w:jc w:val="center"/>
                              <w:rPr>
                                <w:rFonts w:eastAsia="Calibri" w:cs="Arial"/>
                                <w:i/>
                                <w:color w:val="FF0000"/>
                                <w:szCs w:val="16"/>
                                <w:lang w:eastAsia="en-US"/>
                              </w:rPr>
                            </w:pPr>
                            <w:r w:rsidRPr="00F51356">
                              <w:rPr>
                                <w:rFonts w:cs="Tahoma"/>
                                <w:i/>
                                <w:color w:val="FF0000"/>
                                <w:sz w:val="18"/>
                                <w:szCs w:val="18"/>
                              </w:rPr>
                              <w:sym w:font="Wingdings" w:char="F0B5"/>
                            </w:r>
                            <w:r w:rsidRPr="00F51356">
                              <w:rPr>
                                <w:rFonts w:cs="Tahoma"/>
                                <w:i/>
                                <w:color w:val="FF0000"/>
                                <w:sz w:val="18"/>
                                <w:szCs w:val="18"/>
                              </w:rPr>
                              <w:t>Les éléments en italique rouge, à visée explicative, doivent être supprimés</w:t>
                            </w:r>
                          </w:p>
                          <w:p w14:paraId="06BD4D7E" w14:textId="77777777" w:rsidR="00F51356" w:rsidRDefault="00F51356" w:rsidP="00F513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99F92" id="_x0000_s1028" type="#_x0000_t65" style="position:absolute;left:0;text-align:left;margin-left:-.1pt;margin-top:1.45pt;width:109.4pt;height:60.4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" fillcolor="#f2f2f2 [3052]" strokecolor="#bfbfbf [2412]" strokeweight=".25pt">
                <v:textbox>
                  <w:txbxContent>
                    <w:p w14:paraId="23A4DCF4" w14:textId="1A347FB6" w:rsidR="00F51356" w:rsidRPr="00F51356" w:rsidRDefault="00F51356" w:rsidP="00F51356">
                      <w:pPr>
                        <w:spacing w:after="0" w:line="100" w:lineRule="atLeast"/>
                        <w:jc w:val="center"/>
                        <w:rPr>
                          <w:rFonts w:eastAsia="Calibri" w:cs="Arial"/>
                          <w:i/>
                          <w:color w:val="FF0000"/>
                          <w:szCs w:val="16"/>
                          <w:lang w:eastAsia="en-US"/>
                        </w:rPr>
                      </w:pPr>
                      <w:r w:rsidRPr="00F51356">
                        <w:rPr>
                          <w:rFonts w:cs="Tahoma"/>
                          <w:i/>
                          <w:color w:val="FF0000"/>
                          <w:sz w:val="18"/>
                          <w:szCs w:val="18"/>
                        </w:rPr>
                        <w:sym w:font="Wingdings" w:char="F0B5"/>
                      </w:r>
                      <w:r w:rsidRPr="00F51356">
                        <w:rPr>
                          <w:rFonts w:cs="Tahoma"/>
                          <w:i/>
                          <w:color w:val="FF0000"/>
                          <w:sz w:val="18"/>
                          <w:szCs w:val="18"/>
                        </w:rPr>
                        <w:t>Les éléments en italique rouge, à visée explicative, doivent être supprimés</w:t>
                      </w:r>
                    </w:p>
                    <w:p w14:paraId="06BD4D7E" w14:textId="77777777" w:rsidR="00F51356" w:rsidRDefault="00F51356" w:rsidP="00F51356"/>
                  </w:txbxContent>
                </v:textbox>
              </v:shape>
            </w:pict>
          </mc:Fallback>
        </mc:AlternateContent>
      </w:r>
      <w:r w:rsidR="004C21FE">
        <w:rPr>
          <w:rFonts w:cs="Tahoma"/>
          <w:noProof/>
          <w:kern w:val="20"/>
        </w:rPr>
        <mc:AlternateContent>
          <mc:Choice Requires="wps">
            <w:drawing>
              <wp:anchor distT="0" distB="0" distL="114300" distR="114300" simplePos="0" relativeHeight="251658242" behindDoc="0" locked="0" layoutInCell="1" allowOverlap="1" wp14:anchorId="06CF2875" wp14:editId="0B8E4198">
                <wp:simplePos x="0" y="0"/>
                <wp:positionH relativeFrom="column">
                  <wp:posOffset>3288665</wp:posOffset>
                </wp:positionH>
                <wp:positionV relativeFrom="paragraph">
                  <wp:posOffset>138430</wp:posOffset>
                </wp:positionV>
                <wp:extent cx="2126615" cy="508000"/>
                <wp:effectExtent l="6350" t="3810" r="635" b="25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147CA8" w:rsidRPr="00A937FE" w:rsidRDefault="00147CA8"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9" style="position:absolute;left:0;text-align:left;margin-left:258.95pt;margin-top:10.9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" fillcolor="#f2dbdb [661]" stroked="f">
                <v:textbox>
                  <w:txbxContent>
                    <w:p w14:paraId="06CF288B" w14:textId="77777777" w:rsidR="00147CA8" w:rsidRPr="00A937FE" w:rsidRDefault="00147CA8"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161A3058"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205C09EB" w14:textId="77777777" w:rsidR="00390E22" w:rsidRDefault="00390E22" w:rsidP="008C1E1A">
      <w:pPr>
        <w:outlineLvl w:val="0"/>
        <w:rPr>
          <w:rFonts w:cs="Tahoma"/>
          <w:bCs/>
          <w:kern w:val="20"/>
        </w:rPr>
      </w:pPr>
      <w:r>
        <w:rPr>
          <w:rFonts w:cs="Tahoma"/>
          <w:b/>
          <w:kern w:val="20"/>
        </w:rPr>
        <w:t xml:space="preserve">Vu </w:t>
      </w:r>
      <w:r>
        <w:rPr>
          <w:rFonts w:cs="Tahoma"/>
          <w:bCs/>
          <w:kern w:val="20"/>
        </w:rPr>
        <w:t xml:space="preserve">le Code Général des Collectivités Territoriales, </w:t>
      </w:r>
    </w:p>
    <w:p w14:paraId="05F52D4E" w14:textId="0FBD8AFD" w:rsidR="00390E22" w:rsidRDefault="00390E22" w:rsidP="008C1E1A">
      <w:pPr>
        <w:outlineLvl w:val="0"/>
        <w:rPr>
          <w:rFonts w:cs="Tahoma"/>
          <w:bCs/>
          <w:kern w:val="20"/>
        </w:rPr>
      </w:pPr>
      <w:r>
        <w:rPr>
          <w:rFonts w:cs="Tahoma"/>
          <w:b/>
          <w:kern w:val="20"/>
        </w:rPr>
        <w:t xml:space="preserve">Vu </w:t>
      </w:r>
      <w:r>
        <w:rPr>
          <w:rFonts w:cs="Tahoma"/>
          <w:bCs/>
          <w:kern w:val="20"/>
        </w:rPr>
        <w:t>le Code Général de la Fonction Publique</w:t>
      </w:r>
      <w:r w:rsidR="008F4AFF">
        <w:rPr>
          <w:rFonts w:cs="Tahoma"/>
          <w:bCs/>
          <w:kern w:val="20"/>
        </w:rPr>
        <w:t>, et notamment l’article L712-1</w:t>
      </w:r>
      <w:r>
        <w:rPr>
          <w:rFonts w:cs="Tahoma"/>
          <w:bCs/>
          <w:kern w:val="20"/>
        </w:rPr>
        <w:t xml:space="preserve">, </w:t>
      </w:r>
    </w:p>
    <w:p w14:paraId="6261E7E7" w14:textId="0B97E501" w:rsidR="008F4AFF" w:rsidRDefault="00147CA8" w:rsidP="008C1E1A">
      <w:pPr>
        <w:outlineLvl w:val="0"/>
        <w:rPr>
          <w:rFonts w:cs="Tahoma"/>
          <w:kern w:val="20"/>
        </w:rPr>
      </w:pPr>
      <w:r w:rsidRPr="007B4C69">
        <w:rPr>
          <w:rFonts w:cs="Tahoma"/>
          <w:b/>
          <w:kern w:val="20"/>
        </w:rPr>
        <w:t>V</w:t>
      </w:r>
      <w:r>
        <w:rPr>
          <w:rFonts w:cs="Tahoma"/>
          <w:b/>
          <w:kern w:val="20"/>
        </w:rPr>
        <w:t>u</w:t>
      </w:r>
      <w:r w:rsidRPr="007B4C69">
        <w:rPr>
          <w:rFonts w:cs="Tahoma"/>
          <w:kern w:val="20"/>
        </w:rPr>
        <w:t xml:space="preserve"> le </w:t>
      </w:r>
      <w:r w:rsidR="008F4AFF">
        <w:rPr>
          <w:rFonts w:cs="Tahoma"/>
          <w:kern w:val="20"/>
        </w:rPr>
        <w:t>d</w:t>
      </w:r>
      <w:r w:rsidRPr="007B4C69">
        <w:rPr>
          <w:rFonts w:cs="Tahoma"/>
          <w:kern w:val="20"/>
        </w:rPr>
        <w:t>écret n°</w:t>
      </w:r>
      <w:r w:rsidR="008F4AFF">
        <w:rPr>
          <w:rFonts w:cs="Tahoma"/>
          <w:kern w:val="20"/>
        </w:rPr>
        <w:t>2023-1006 du 31 octobre 2023 portant création d’une prime de pouvoir d’achat exceptionnelle pour certains agents publics de la fonction publique territoriale,</w:t>
      </w:r>
    </w:p>
    <w:p w14:paraId="4441B1A7" w14:textId="365D4CB4" w:rsidR="002670C7" w:rsidRPr="00F51356" w:rsidRDefault="002670C7" w:rsidP="008C1E1A">
      <w:pPr>
        <w:outlineLvl w:val="0"/>
        <w:rPr>
          <w:rFonts w:cs="Tahoma"/>
          <w:i/>
          <w:color w:val="FF0000"/>
          <w:kern w:val="20"/>
        </w:rPr>
      </w:pPr>
      <w:r w:rsidRPr="007B4C69">
        <w:rPr>
          <w:rFonts w:cs="Tahoma"/>
          <w:b/>
          <w:kern w:val="20"/>
        </w:rPr>
        <w:t>Vu</w:t>
      </w:r>
      <w:r w:rsidRPr="007B4C69">
        <w:rPr>
          <w:rFonts w:cs="Tahoma"/>
          <w:kern w:val="20"/>
        </w:rPr>
        <w:t xml:space="preserve"> l’avis </w:t>
      </w:r>
      <w:r w:rsidR="008F4AFF">
        <w:rPr>
          <w:rFonts w:cs="Tahoma"/>
          <w:kern w:val="20"/>
        </w:rPr>
        <w:t xml:space="preserve">préalable </w:t>
      </w:r>
      <w:r w:rsidRPr="007B4C69">
        <w:rPr>
          <w:rFonts w:cs="Tahoma"/>
          <w:kern w:val="20"/>
        </w:rPr>
        <w:t xml:space="preserve">du Comité </w:t>
      </w:r>
      <w:r w:rsidR="0029416D">
        <w:rPr>
          <w:rFonts w:cs="Tahoma"/>
          <w:kern w:val="20"/>
        </w:rPr>
        <w:t>Social Territorial</w:t>
      </w:r>
      <w:r w:rsidRPr="007B4C69">
        <w:rPr>
          <w:rFonts w:cs="Tahoma"/>
          <w:kern w:val="20"/>
        </w:rPr>
        <w:t xml:space="preserve"> en date du </w:t>
      </w:r>
      <w:r w:rsidR="00C94E74">
        <w:rPr>
          <w:rFonts w:cs="Tahoma"/>
          <w:kern w:val="20"/>
        </w:rPr>
        <w:t>……</w:t>
      </w:r>
      <w:r w:rsidRPr="007B4C69">
        <w:rPr>
          <w:rFonts w:cs="Tahoma"/>
          <w:kern w:val="20"/>
        </w:rPr>
        <w:t>…,</w:t>
      </w:r>
      <w:r w:rsidR="00C94E74">
        <w:rPr>
          <w:rFonts w:cs="Tahoma"/>
          <w:kern w:val="20"/>
        </w:rPr>
        <w:t xml:space="preserve"> </w:t>
      </w:r>
      <w:r w:rsidR="00C94E74" w:rsidRPr="00F51356">
        <w:rPr>
          <w:rFonts w:cs="Tahoma"/>
          <w:i/>
          <w:color w:val="FF0000"/>
          <w:kern w:val="20"/>
        </w:rPr>
        <w:t>(</w:t>
      </w:r>
      <w:r w:rsidR="00EA261B">
        <w:rPr>
          <w:rFonts w:cs="Tahoma"/>
          <w:i/>
          <w:color w:val="FF0000"/>
          <w:kern w:val="20"/>
        </w:rPr>
        <w:t>la date de délibération doit donc être postérieure à la date de l’avis du CST</w:t>
      </w:r>
      <w:r w:rsidR="00C94E74" w:rsidRPr="00F51356">
        <w:rPr>
          <w:rFonts w:cs="Tahoma"/>
          <w:i/>
          <w:color w:val="FF0000"/>
          <w:kern w:val="20"/>
        </w:rPr>
        <w:t>)</w:t>
      </w:r>
    </w:p>
    <w:p w14:paraId="52AD2016" w14:textId="21E6D11E" w:rsidR="008F4AFF" w:rsidRDefault="00A82D77" w:rsidP="008C1E1A">
      <w:pPr>
        <w:outlineLvl w:val="0"/>
        <w:rPr>
          <w:rFonts w:cs="Tahoma"/>
          <w:bCs/>
          <w:kern w:val="20"/>
        </w:rPr>
      </w:pPr>
      <w:r w:rsidRPr="007B4C69">
        <w:rPr>
          <w:rFonts w:cs="Tahoma"/>
          <w:b/>
          <w:kern w:val="20"/>
        </w:rPr>
        <w:t xml:space="preserve">Considérant </w:t>
      </w:r>
      <w:r w:rsidR="008F4AFF">
        <w:rPr>
          <w:rFonts w:cs="Tahoma"/>
          <w:b/>
          <w:kern w:val="20"/>
        </w:rPr>
        <w:t xml:space="preserve">que </w:t>
      </w:r>
      <w:r w:rsidR="008F4AFF">
        <w:rPr>
          <w:rFonts w:cs="Tahoma"/>
          <w:bCs/>
          <w:kern w:val="20"/>
        </w:rPr>
        <w:t>les employeurs territoriaux ont la possibilité d’instaurer, au bénéfice de certains agents publics, une prime de pouvoir d’achat exceptionnelle forfaitaire</w:t>
      </w:r>
      <w:r w:rsidR="00C94E74">
        <w:rPr>
          <w:rFonts w:cs="Tahoma"/>
          <w:bCs/>
          <w:kern w:val="20"/>
        </w:rPr>
        <w:t>,</w:t>
      </w:r>
    </w:p>
    <w:p w14:paraId="1D6FF161" w14:textId="1FA05708" w:rsidR="008C720F" w:rsidRDefault="008C720F" w:rsidP="008C1E1A">
      <w:pPr>
        <w:outlineLvl w:val="0"/>
        <w:rPr>
          <w:rFonts w:cs="Tahoma"/>
          <w:bCs/>
          <w:kern w:val="20"/>
        </w:rPr>
      </w:pPr>
      <w:r w:rsidRPr="007B4C69">
        <w:rPr>
          <w:rFonts w:cs="Tahoma"/>
          <w:b/>
          <w:kern w:val="20"/>
        </w:rPr>
        <w:t xml:space="preserve">Considérant </w:t>
      </w:r>
      <w:r>
        <w:rPr>
          <w:rFonts w:cs="Tahoma"/>
          <w:b/>
          <w:kern w:val="20"/>
        </w:rPr>
        <w:t xml:space="preserve">que </w:t>
      </w:r>
      <w:r>
        <w:rPr>
          <w:rFonts w:cs="Tahoma"/>
          <w:bCs/>
          <w:kern w:val="20"/>
        </w:rPr>
        <w:t>l’employeur territorial qui verse, le cas échéant, cette prime est celui qui emploie et rémunère l’agent au 30 juin 2023,</w:t>
      </w:r>
    </w:p>
    <w:p w14:paraId="4890E9A4" w14:textId="6E281463" w:rsidR="008C1E1A" w:rsidRDefault="008C1E1A" w:rsidP="008C1E1A">
      <w:pPr>
        <w:outlineLvl w:val="0"/>
        <w:rPr>
          <w:rFonts w:cs="Tahoma"/>
          <w:bCs/>
          <w:kern w:val="20"/>
        </w:rPr>
      </w:pPr>
      <w:r w:rsidRPr="007B4C69">
        <w:rPr>
          <w:rFonts w:cs="Tahoma"/>
          <w:b/>
          <w:kern w:val="20"/>
        </w:rPr>
        <w:t xml:space="preserve">Considérant </w:t>
      </w:r>
      <w:r>
        <w:rPr>
          <w:rFonts w:cs="Tahoma"/>
          <w:b/>
          <w:kern w:val="20"/>
        </w:rPr>
        <w:t xml:space="preserve">que </w:t>
      </w:r>
      <w:r>
        <w:rPr>
          <w:rFonts w:cs="Tahoma"/>
          <w:bCs/>
          <w:kern w:val="20"/>
        </w:rPr>
        <w:t xml:space="preserve">le montant de </w:t>
      </w:r>
      <w:r w:rsidR="00A3573F">
        <w:rPr>
          <w:rFonts w:cs="Tahoma"/>
          <w:bCs/>
          <w:kern w:val="20"/>
        </w:rPr>
        <w:t>cette</w:t>
      </w:r>
      <w:r>
        <w:rPr>
          <w:rFonts w:cs="Tahoma"/>
          <w:bCs/>
          <w:kern w:val="20"/>
        </w:rPr>
        <w:t xml:space="preserve"> prime est réduit à proportion de la quotité de travail et de la durée d’emploi sur la période du 1</w:t>
      </w:r>
      <w:r w:rsidRPr="008C1E1A">
        <w:rPr>
          <w:rFonts w:cs="Tahoma"/>
          <w:bCs/>
          <w:kern w:val="20"/>
          <w:vertAlign w:val="superscript"/>
        </w:rPr>
        <w:t>er</w:t>
      </w:r>
      <w:r>
        <w:rPr>
          <w:rFonts w:cs="Tahoma"/>
          <w:bCs/>
          <w:kern w:val="20"/>
        </w:rPr>
        <w:t xml:space="preserve"> juillet 2022 au 30 juin 2023</w:t>
      </w:r>
      <w:r w:rsidR="00F51356">
        <w:rPr>
          <w:rFonts w:cs="Tahoma"/>
          <w:bCs/>
          <w:kern w:val="20"/>
        </w:rPr>
        <w:t xml:space="preserve"> </w:t>
      </w:r>
      <w:r w:rsidR="00F51356" w:rsidRPr="00F51356">
        <w:rPr>
          <w:rFonts w:cs="Tahoma"/>
          <w:i/>
          <w:color w:val="FF0000"/>
          <w:kern w:val="20"/>
        </w:rPr>
        <w:t>(un agent employé en continu sur cette période, à temps partiel à 80%, rémunéré à 6/7</w:t>
      </w:r>
      <w:r w:rsidR="00F51356" w:rsidRPr="00F51356">
        <w:rPr>
          <w:rFonts w:cs="Tahoma"/>
          <w:i/>
          <w:color w:val="FF0000"/>
          <w:kern w:val="20"/>
          <w:vertAlign w:val="superscript"/>
        </w:rPr>
        <w:t>ème</w:t>
      </w:r>
      <w:r w:rsidR="00F51356" w:rsidRPr="00F51356">
        <w:rPr>
          <w:rFonts w:cs="Tahoma"/>
          <w:i/>
          <w:color w:val="FF0000"/>
          <w:kern w:val="20"/>
        </w:rPr>
        <w:t xml:space="preserve"> d’un temps plein soit 85,71%, percevra une prime à 85,71% du montant de référence)</w:t>
      </w:r>
      <w:r>
        <w:rPr>
          <w:rFonts w:cs="Tahoma"/>
          <w:bCs/>
          <w:kern w:val="20"/>
        </w:rPr>
        <w:t>,</w:t>
      </w:r>
    </w:p>
    <w:p w14:paraId="156857AA" w14:textId="77777777" w:rsidR="00A3573F" w:rsidRDefault="00A3573F" w:rsidP="00A3573F">
      <w:pPr>
        <w:outlineLvl w:val="0"/>
        <w:rPr>
          <w:rFonts w:cs="Tahoma"/>
          <w:bCs/>
          <w:kern w:val="20"/>
        </w:rPr>
      </w:pPr>
      <w:r w:rsidRPr="007B4C69">
        <w:rPr>
          <w:rFonts w:cs="Tahoma"/>
          <w:b/>
          <w:kern w:val="20"/>
        </w:rPr>
        <w:t xml:space="preserve">Considérant </w:t>
      </w:r>
      <w:r>
        <w:rPr>
          <w:rFonts w:cs="Tahoma"/>
          <w:b/>
          <w:kern w:val="20"/>
        </w:rPr>
        <w:t xml:space="preserve">que </w:t>
      </w:r>
      <w:r>
        <w:rPr>
          <w:rFonts w:cs="Tahoma"/>
          <w:bCs/>
          <w:kern w:val="20"/>
        </w:rPr>
        <w:t>les agents suivants sont exclus du bénéfice de cette prime :</w:t>
      </w:r>
    </w:p>
    <w:p w14:paraId="1E7DD11C" w14:textId="33AE43C8" w:rsidR="009D21A4" w:rsidRDefault="009D21A4" w:rsidP="00A3573F">
      <w:pPr>
        <w:pStyle w:val="Paragraphedeliste"/>
        <w:numPr>
          <w:ilvl w:val="0"/>
          <w:numId w:val="30"/>
        </w:numPr>
        <w:outlineLvl w:val="0"/>
        <w:rPr>
          <w:rFonts w:cs="Tahoma"/>
          <w:bCs/>
          <w:kern w:val="20"/>
        </w:rPr>
      </w:pPr>
      <w:r>
        <w:rPr>
          <w:rFonts w:cs="Tahoma"/>
          <w:bCs/>
          <w:kern w:val="20"/>
        </w:rPr>
        <w:t>Les agents n’ayant pas la qualité d’agents publics, par exemple : agents contractuels de droit privé, apprentis, vacataires ;</w:t>
      </w:r>
    </w:p>
    <w:p w14:paraId="0D66577A" w14:textId="375C414E" w:rsidR="000D46C5" w:rsidRDefault="000D46C5" w:rsidP="00A3573F">
      <w:pPr>
        <w:pStyle w:val="Paragraphedeliste"/>
        <w:numPr>
          <w:ilvl w:val="0"/>
          <w:numId w:val="30"/>
        </w:numPr>
        <w:outlineLvl w:val="0"/>
        <w:rPr>
          <w:rFonts w:cs="Tahoma"/>
          <w:bCs/>
          <w:kern w:val="20"/>
        </w:rPr>
      </w:pPr>
      <w:r>
        <w:rPr>
          <w:rFonts w:cs="Tahoma"/>
          <w:bCs/>
          <w:kern w:val="20"/>
        </w:rPr>
        <w:t>Les agents publics non rémunérés au 30 juin 2023, par exemple : les agents publics en congé parental ou en disponibilité à cette date ;</w:t>
      </w:r>
    </w:p>
    <w:p w14:paraId="06613DE3" w14:textId="05B9BF49" w:rsidR="00A3573F" w:rsidRDefault="00A3573F" w:rsidP="00A3573F">
      <w:pPr>
        <w:pStyle w:val="Paragraphedeliste"/>
        <w:numPr>
          <w:ilvl w:val="0"/>
          <w:numId w:val="30"/>
        </w:numPr>
        <w:outlineLvl w:val="0"/>
        <w:rPr>
          <w:rFonts w:cs="Tahoma"/>
          <w:bCs/>
          <w:kern w:val="20"/>
        </w:rPr>
      </w:pPr>
      <w:r>
        <w:rPr>
          <w:rFonts w:cs="Tahoma"/>
          <w:bCs/>
          <w:kern w:val="20"/>
        </w:rPr>
        <w:t>Les agents publics éligibles</w:t>
      </w:r>
      <w:r w:rsidR="000D46C5">
        <w:rPr>
          <w:rFonts w:cs="Tahoma"/>
          <w:bCs/>
          <w:kern w:val="20"/>
        </w:rPr>
        <w:t xml:space="preserve">, en qualité de salariés, </w:t>
      </w:r>
      <w:r>
        <w:rPr>
          <w:rFonts w:cs="Tahoma"/>
          <w:bCs/>
          <w:kern w:val="20"/>
        </w:rPr>
        <w:t>à la prime de partage de la valeur</w:t>
      </w:r>
      <w:r w:rsidR="009D21A4">
        <w:rPr>
          <w:rFonts w:cs="Tahoma"/>
          <w:bCs/>
          <w:kern w:val="20"/>
        </w:rPr>
        <w:t xml:space="preserve"> </w:t>
      </w:r>
      <w:r>
        <w:rPr>
          <w:rFonts w:cs="Tahoma"/>
          <w:bCs/>
          <w:kern w:val="20"/>
        </w:rPr>
        <w:t xml:space="preserve">en application de l’article </w:t>
      </w:r>
      <w:r w:rsidR="009D21A4">
        <w:rPr>
          <w:rFonts w:cs="Tahoma"/>
          <w:bCs/>
          <w:kern w:val="20"/>
        </w:rPr>
        <w:t>1</w:t>
      </w:r>
      <w:r w:rsidR="009D21A4" w:rsidRPr="009D21A4">
        <w:rPr>
          <w:rFonts w:cs="Tahoma"/>
          <w:bCs/>
          <w:kern w:val="20"/>
          <w:vertAlign w:val="superscript"/>
        </w:rPr>
        <w:t>er</w:t>
      </w:r>
      <w:r w:rsidR="009D21A4">
        <w:rPr>
          <w:rFonts w:cs="Tahoma"/>
          <w:bCs/>
          <w:kern w:val="20"/>
        </w:rPr>
        <w:t xml:space="preserve"> de la loi n°2022-1158 du </w:t>
      </w:r>
      <w:r w:rsidR="009D21A4" w:rsidRPr="009D21A4">
        <w:rPr>
          <w:rFonts w:cs="Tahoma"/>
          <w:bCs/>
          <w:kern w:val="20"/>
        </w:rPr>
        <w:t>16 août 2022 portant mesures d'urgence pour la protection du pouvoir d'achat</w:t>
      </w:r>
      <w:r w:rsidR="009D21A4">
        <w:rPr>
          <w:rFonts w:cs="Tahoma"/>
          <w:bCs/>
          <w:kern w:val="20"/>
        </w:rPr>
        <w:t> ;</w:t>
      </w:r>
    </w:p>
    <w:p w14:paraId="0B5FDD26" w14:textId="4350DAA0" w:rsidR="00A3573F" w:rsidRDefault="00A3573F" w:rsidP="00A3573F">
      <w:pPr>
        <w:pStyle w:val="Paragraphedeliste"/>
        <w:numPr>
          <w:ilvl w:val="0"/>
          <w:numId w:val="30"/>
        </w:numPr>
        <w:outlineLvl w:val="0"/>
        <w:rPr>
          <w:rFonts w:cs="Tahoma"/>
          <w:bCs/>
          <w:kern w:val="20"/>
        </w:rPr>
      </w:pPr>
      <w:r>
        <w:rPr>
          <w:rFonts w:cs="Tahoma"/>
          <w:bCs/>
          <w:kern w:val="20"/>
        </w:rPr>
        <w:t>Les élèves et étudiants en formation en milieu professionnel ou en stage avec lesquels les employeurs territoriaux sont liés par une convention de stage dans les conditions prévues au deuxième alinéa de l’article L124-1 du code de l’éducation</w:t>
      </w:r>
      <w:r w:rsidR="009D21A4">
        <w:rPr>
          <w:rFonts w:cs="Tahoma"/>
          <w:bCs/>
          <w:kern w:val="20"/>
        </w:rPr>
        <w:t> ;</w:t>
      </w:r>
    </w:p>
    <w:p w14:paraId="03C06DCF" w14:textId="478E1A4D" w:rsidR="00A3573F" w:rsidRPr="00A3573F" w:rsidRDefault="00A3573F" w:rsidP="00A3573F">
      <w:pPr>
        <w:pStyle w:val="Paragraphedeliste"/>
        <w:numPr>
          <w:ilvl w:val="0"/>
          <w:numId w:val="30"/>
        </w:numPr>
        <w:outlineLvl w:val="0"/>
        <w:rPr>
          <w:rFonts w:cs="Tahoma"/>
          <w:bCs/>
          <w:kern w:val="20"/>
        </w:rPr>
      </w:pPr>
      <w:r>
        <w:rPr>
          <w:rFonts w:cs="Tahoma"/>
          <w:bCs/>
          <w:kern w:val="20"/>
        </w:rPr>
        <w:t xml:space="preserve">Les agents publics ayant perçu la prime de pouvoir d’achat exceptionnelle </w:t>
      </w:r>
      <w:r w:rsidR="009D21A4">
        <w:rPr>
          <w:rFonts w:cs="Tahoma"/>
          <w:bCs/>
          <w:kern w:val="20"/>
        </w:rPr>
        <w:t>des</w:t>
      </w:r>
      <w:r>
        <w:rPr>
          <w:rFonts w:cs="Tahoma"/>
          <w:bCs/>
          <w:kern w:val="20"/>
        </w:rPr>
        <w:t xml:space="preserve"> agents civils de la fonction publique de l’État, de la fonction publique hospitalière et des militaires ;</w:t>
      </w:r>
    </w:p>
    <w:p w14:paraId="4FF99E76" w14:textId="77777777" w:rsidR="002670C7" w:rsidRPr="007B4C69" w:rsidRDefault="002670C7" w:rsidP="00A448C7">
      <w:pPr>
        <w:spacing w:after="0"/>
        <w:outlineLvl w:val="0"/>
        <w:rPr>
          <w:rFonts w:cs="Tahoma"/>
          <w:i/>
          <w:color w:val="00B0F0"/>
        </w:rPr>
      </w:pPr>
      <w:bookmarkStart w:id="0" w:name="_Hlk84330749"/>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703A65C8" w14:textId="594A2C50" w:rsidR="00A82D77" w:rsidRPr="00DF1837" w:rsidRDefault="00AC681E" w:rsidP="00A82D77">
      <w:pPr>
        <w:spacing w:after="0"/>
        <w:jc w:val="center"/>
        <w:rPr>
          <w:rFonts w:cs="Tahoma"/>
          <w:i/>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68DD31AA" w14:textId="7966025F" w:rsidR="000E145B" w:rsidRPr="00C94E74" w:rsidRDefault="009D21A4" w:rsidP="002D45D7">
      <w:pPr>
        <w:pStyle w:val="Paragraphedeliste"/>
        <w:numPr>
          <w:ilvl w:val="0"/>
          <w:numId w:val="14"/>
        </w:numPr>
        <w:spacing w:after="0"/>
        <w:rPr>
          <w:rFonts w:cs="Tahoma"/>
        </w:rPr>
      </w:pPr>
      <w:r>
        <w:rPr>
          <w:rFonts w:cs="Tahoma"/>
          <w:kern w:val="20"/>
        </w:rPr>
        <w:t>D</w:t>
      </w:r>
      <w:r w:rsidR="000E145B" w:rsidRPr="00C94E74">
        <w:rPr>
          <w:rFonts w:cs="Tahoma"/>
          <w:kern w:val="20"/>
        </w:rPr>
        <w:t>’</w:t>
      </w:r>
      <w:r w:rsidR="00C94E74" w:rsidRPr="00C94E74">
        <w:rPr>
          <w:rFonts w:cs="Tahoma"/>
          <w:kern w:val="20"/>
        </w:rPr>
        <w:t>instaurer une prime de pouvoir d’achat exceptionnelle forfaitaire au bénéfice des agents publics suivants</w:t>
      </w:r>
      <w:r w:rsidR="00C94E74">
        <w:rPr>
          <w:rFonts w:cs="Tahoma"/>
          <w:kern w:val="20"/>
        </w:rPr>
        <w:t> :</w:t>
      </w:r>
    </w:p>
    <w:p w14:paraId="3284BEBE" w14:textId="15EB2494" w:rsidR="00C94E74" w:rsidRPr="009D21A4" w:rsidRDefault="00C94E74" w:rsidP="00C94E74">
      <w:pPr>
        <w:pStyle w:val="Paragraphedeliste"/>
        <w:numPr>
          <w:ilvl w:val="1"/>
          <w:numId w:val="14"/>
        </w:numPr>
        <w:spacing w:after="0"/>
        <w:rPr>
          <w:rFonts w:cs="Tahoma"/>
          <w:i/>
          <w:iCs/>
        </w:rPr>
      </w:pPr>
      <w:r w:rsidRPr="009D21A4">
        <w:rPr>
          <w:rFonts w:cs="Tahoma"/>
          <w:kern w:val="20"/>
        </w:rPr>
        <w:t>Les agents stagiaires, titulaires et contractuels de droit public</w:t>
      </w:r>
    </w:p>
    <w:p w14:paraId="6FCAD197" w14:textId="303F6DF5" w:rsidR="00C94E74" w:rsidRPr="007B5339" w:rsidRDefault="00C94E74" w:rsidP="00C94E74">
      <w:pPr>
        <w:pStyle w:val="Paragraphedeliste"/>
        <w:numPr>
          <w:ilvl w:val="1"/>
          <w:numId w:val="14"/>
        </w:numPr>
        <w:spacing w:after="0"/>
        <w:rPr>
          <w:rFonts w:cs="Tahoma"/>
          <w:i/>
          <w:color w:val="00B0F0"/>
          <w:kern w:val="20"/>
        </w:rPr>
      </w:pPr>
      <w:r w:rsidRPr="007B5339">
        <w:rPr>
          <w:rFonts w:cs="Tahoma"/>
          <w:i/>
          <w:color w:val="00B0F0"/>
          <w:kern w:val="20"/>
        </w:rPr>
        <w:t xml:space="preserve">Les assistants maternels et assistants familiaux </w:t>
      </w:r>
      <w:r w:rsidR="007B5339" w:rsidRPr="007B5339">
        <w:rPr>
          <w:rFonts w:cs="Tahoma"/>
          <w:i/>
          <w:color w:val="00B0F0"/>
          <w:kern w:val="20"/>
        </w:rPr>
        <w:t>mentionnés à l’article L422-6 du code de l’action sociale et des familles.</w:t>
      </w:r>
    </w:p>
    <w:p w14:paraId="5EDB437E" w14:textId="4CCAB5CF" w:rsidR="00C94E74" w:rsidRDefault="009D21A4" w:rsidP="007B5339">
      <w:pPr>
        <w:spacing w:after="0"/>
        <w:ind w:left="708"/>
        <w:rPr>
          <w:rFonts w:cs="Tahoma"/>
        </w:rPr>
      </w:pPr>
      <w:proofErr w:type="gramStart"/>
      <w:r>
        <w:rPr>
          <w:rFonts w:cs="Tahoma"/>
        </w:rPr>
        <w:t>remplissant</w:t>
      </w:r>
      <w:proofErr w:type="gramEnd"/>
      <w:r w:rsidR="007B5339">
        <w:rPr>
          <w:rFonts w:cs="Tahoma"/>
        </w:rPr>
        <w:t xml:space="preserve"> les 3 conditions cumulatives ci-après :</w:t>
      </w:r>
    </w:p>
    <w:p w14:paraId="238BE384" w14:textId="01509E80" w:rsidR="007B5339" w:rsidRDefault="007B5339" w:rsidP="007B5339">
      <w:pPr>
        <w:pStyle w:val="Paragraphedeliste"/>
        <w:numPr>
          <w:ilvl w:val="0"/>
          <w:numId w:val="29"/>
        </w:numPr>
        <w:spacing w:after="0"/>
        <w:rPr>
          <w:rFonts w:cs="Tahoma"/>
        </w:rPr>
      </w:pPr>
      <w:r>
        <w:rPr>
          <w:rFonts w:cs="Tahoma"/>
        </w:rPr>
        <w:lastRenderedPageBreak/>
        <w:t xml:space="preserve">Avoir été nommés ou recrutés par un employeur territorial </w:t>
      </w:r>
      <w:r w:rsidRPr="00F51356">
        <w:rPr>
          <w:rFonts w:cs="Tahoma"/>
          <w:i/>
          <w:color w:val="FF0000"/>
          <w:kern w:val="20"/>
        </w:rPr>
        <w:t xml:space="preserve">(même s’il s’agit d’une autre collectivité territoriale ou établissement public administratif </w:t>
      </w:r>
      <w:r w:rsidR="00752D63" w:rsidRPr="00F51356">
        <w:rPr>
          <w:rFonts w:cs="Tahoma"/>
          <w:i/>
          <w:color w:val="FF0000"/>
          <w:kern w:val="20"/>
        </w:rPr>
        <w:t xml:space="preserve">territorial </w:t>
      </w:r>
      <w:r w:rsidRPr="00F51356">
        <w:rPr>
          <w:rFonts w:cs="Tahoma"/>
          <w:i/>
          <w:color w:val="FF0000"/>
          <w:kern w:val="20"/>
        </w:rPr>
        <w:t>qu’actuellement)</w:t>
      </w:r>
      <w:r w:rsidRPr="00F51356">
        <w:rPr>
          <w:rFonts w:cs="Tahoma"/>
          <w:color w:val="FF0000"/>
        </w:rPr>
        <w:t xml:space="preserve"> </w:t>
      </w:r>
      <w:r>
        <w:rPr>
          <w:rFonts w:cs="Tahoma"/>
        </w:rPr>
        <w:t>à une date d’effet antérieure au 1</w:t>
      </w:r>
      <w:r w:rsidRPr="007B5339">
        <w:rPr>
          <w:rFonts w:cs="Tahoma"/>
          <w:vertAlign w:val="superscript"/>
        </w:rPr>
        <w:t>er</w:t>
      </w:r>
      <w:r>
        <w:rPr>
          <w:rFonts w:cs="Tahoma"/>
        </w:rPr>
        <w:t xml:space="preserve"> janvier 2023 ;</w:t>
      </w:r>
    </w:p>
    <w:p w14:paraId="2F3A80C9" w14:textId="025B7256" w:rsidR="007B5339" w:rsidRDefault="007B5339" w:rsidP="007B5339">
      <w:pPr>
        <w:pStyle w:val="Paragraphedeliste"/>
        <w:numPr>
          <w:ilvl w:val="0"/>
          <w:numId w:val="29"/>
        </w:numPr>
        <w:spacing w:after="0"/>
        <w:rPr>
          <w:rFonts w:cs="Tahoma"/>
        </w:rPr>
      </w:pPr>
      <w:r>
        <w:rPr>
          <w:rFonts w:cs="Tahoma"/>
        </w:rPr>
        <w:t>Être employés et rémunérés par un employeur</w:t>
      </w:r>
      <w:r w:rsidR="00752D63">
        <w:rPr>
          <w:rFonts w:cs="Tahoma"/>
        </w:rPr>
        <w:t xml:space="preserve"> territorial </w:t>
      </w:r>
      <w:r w:rsidR="00752D63" w:rsidRPr="00F51356">
        <w:rPr>
          <w:rFonts w:cs="Tahoma"/>
          <w:i/>
          <w:color w:val="FF0000"/>
          <w:kern w:val="20"/>
        </w:rPr>
        <w:t>(idem supra)</w:t>
      </w:r>
      <w:r w:rsidR="00752D63" w:rsidRPr="00F51356">
        <w:rPr>
          <w:rFonts w:cs="Tahoma"/>
          <w:color w:val="FF0000"/>
        </w:rPr>
        <w:t xml:space="preserve"> </w:t>
      </w:r>
      <w:r w:rsidR="00752D63">
        <w:rPr>
          <w:rFonts w:cs="Tahoma"/>
        </w:rPr>
        <w:t>au 30 juin 2023 ;</w:t>
      </w:r>
    </w:p>
    <w:p w14:paraId="5087B97F" w14:textId="2DC5EB29" w:rsidR="00752D63" w:rsidRDefault="00752D63" w:rsidP="007B5339">
      <w:pPr>
        <w:pStyle w:val="Paragraphedeliste"/>
        <w:numPr>
          <w:ilvl w:val="0"/>
          <w:numId w:val="29"/>
        </w:numPr>
        <w:spacing w:after="0"/>
        <w:rPr>
          <w:rFonts w:cs="Tahoma"/>
        </w:rPr>
      </w:pPr>
      <w:r>
        <w:rPr>
          <w:rFonts w:cs="Tahoma"/>
        </w:rPr>
        <w:t xml:space="preserve">Avoir perçu une rémunération brute telle que définie </w:t>
      </w:r>
      <w:r w:rsidR="00F51356">
        <w:rPr>
          <w:rFonts w:cs="Tahoma"/>
        </w:rPr>
        <w:t xml:space="preserve">aux </w:t>
      </w:r>
      <w:r>
        <w:rPr>
          <w:rFonts w:cs="Tahoma"/>
        </w:rPr>
        <w:t>article</w:t>
      </w:r>
      <w:r w:rsidR="00F51356">
        <w:rPr>
          <w:rFonts w:cs="Tahoma"/>
        </w:rPr>
        <w:t>s</w:t>
      </w:r>
      <w:r>
        <w:rPr>
          <w:rFonts w:cs="Tahoma"/>
        </w:rPr>
        <w:t xml:space="preserve"> 3 </w:t>
      </w:r>
      <w:r w:rsidR="00F51356">
        <w:rPr>
          <w:rFonts w:cs="Tahoma"/>
        </w:rPr>
        <w:t xml:space="preserve">et 6 </w:t>
      </w:r>
      <w:r>
        <w:rPr>
          <w:rFonts w:cs="Tahoma"/>
        </w:rPr>
        <w:t>du décret n°2023-1006 susvisé</w:t>
      </w:r>
      <w:r w:rsidR="009D21A4">
        <w:rPr>
          <w:rFonts w:cs="Tahoma"/>
        </w:rPr>
        <w:t>,</w:t>
      </w:r>
      <w:r>
        <w:rPr>
          <w:rFonts w:cs="Tahoma"/>
        </w:rPr>
        <w:t xml:space="preserve"> inférieure ou égale à 39 000 euros au titre de la période courant du 1</w:t>
      </w:r>
      <w:r w:rsidRPr="00752D63">
        <w:rPr>
          <w:rFonts w:cs="Tahoma"/>
          <w:vertAlign w:val="superscript"/>
        </w:rPr>
        <w:t>er</w:t>
      </w:r>
      <w:r>
        <w:rPr>
          <w:rFonts w:cs="Tahoma"/>
        </w:rPr>
        <w:t xml:space="preserve"> juillet 2022 au </w:t>
      </w:r>
      <w:r w:rsidR="00E22537">
        <w:rPr>
          <w:rFonts w:cs="Tahoma"/>
        </w:rPr>
        <w:t>30 juin</w:t>
      </w:r>
      <w:r>
        <w:rPr>
          <w:rFonts w:cs="Tahoma"/>
        </w:rPr>
        <w:t xml:space="preserve"> 2023</w:t>
      </w:r>
      <w:r w:rsidR="002F4DA3">
        <w:rPr>
          <w:rFonts w:cs="Tahoma"/>
        </w:rPr>
        <w:t xml:space="preserve"> </w:t>
      </w:r>
      <w:r w:rsidR="002F4DA3" w:rsidRPr="002F4DA3">
        <w:rPr>
          <w:rFonts w:cs="Tahoma"/>
          <w:i/>
          <w:iCs/>
          <w:color w:val="FF0000"/>
        </w:rPr>
        <w:t xml:space="preserve">(l’indemnité de GIPA et les IHTS </w:t>
      </w:r>
      <w:r w:rsidR="002F4DA3">
        <w:rPr>
          <w:rFonts w:cs="Tahoma"/>
          <w:i/>
          <w:iCs/>
          <w:color w:val="FF0000"/>
        </w:rPr>
        <w:t>éventuellement versées sur cette période sont à déduire</w:t>
      </w:r>
      <w:r w:rsidR="002F4DA3" w:rsidRPr="002F4DA3">
        <w:rPr>
          <w:rFonts w:cs="Tahoma"/>
          <w:i/>
          <w:iCs/>
          <w:color w:val="FF0000"/>
        </w:rPr>
        <w:t>)</w:t>
      </w:r>
      <w:r>
        <w:rPr>
          <w:rFonts w:cs="Tahoma"/>
        </w:rPr>
        <w:t>.</w:t>
      </w:r>
    </w:p>
    <w:p w14:paraId="7577D140" w14:textId="3F33E8FF" w:rsidR="00752D63" w:rsidRDefault="00752D63" w:rsidP="00752D63">
      <w:pPr>
        <w:spacing w:after="0"/>
        <w:ind w:left="708"/>
        <w:rPr>
          <w:rFonts w:cs="Tahoma"/>
        </w:rPr>
      </w:pPr>
      <w:r>
        <w:rPr>
          <w:rFonts w:cs="Tahoma"/>
        </w:rPr>
        <w:t>Pour les fonctionnaires titulaires d’une autre fonction publique en détachement au sein de la fonction publique territoriale, ces conditions sont examinées en tenant compte de l’ancienneté acquise dans l’ensemble de la fonction publique.</w:t>
      </w:r>
    </w:p>
    <w:p w14:paraId="6300CF62" w14:textId="77777777" w:rsidR="00F51356" w:rsidRPr="00752D63" w:rsidRDefault="00F51356" w:rsidP="00752D63">
      <w:pPr>
        <w:spacing w:after="0"/>
        <w:ind w:left="708"/>
        <w:rPr>
          <w:rFonts w:cs="Tahoma"/>
        </w:rPr>
      </w:pPr>
    </w:p>
    <w:p w14:paraId="0A03BED0" w14:textId="3120DF35" w:rsidR="00000CB3" w:rsidRPr="00000CB3" w:rsidRDefault="008C720F" w:rsidP="008C720F">
      <w:pPr>
        <w:pStyle w:val="Paragraphedeliste"/>
        <w:numPr>
          <w:ilvl w:val="0"/>
          <w:numId w:val="10"/>
        </w:numPr>
        <w:spacing w:after="0"/>
        <w:rPr>
          <w:rFonts w:cs="Tahoma"/>
        </w:rPr>
      </w:pPr>
      <w:r w:rsidRPr="00C94E74">
        <w:rPr>
          <w:rFonts w:cs="Tahoma"/>
          <w:kern w:val="20"/>
        </w:rPr>
        <w:t>D</w:t>
      </w:r>
      <w:r w:rsidR="00000CB3">
        <w:rPr>
          <w:rFonts w:cs="Tahoma"/>
          <w:kern w:val="20"/>
        </w:rPr>
        <w:t>e fixer ainsi, pour chaque niveau de rémunération défini par le barème réglementaire, le montant de cette prime :</w:t>
      </w:r>
    </w:p>
    <w:p w14:paraId="7138A259" w14:textId="77777777" w:rsidR="00A80AA5" w:rsidRDefault="00A80AA5" w:rsidP="00000CB3">
      <w:pPr>
        <w:spacing w:after="0"/>
        <w:rPr>
          <w:rFonts w:cs="Tahoma"/>
        </w:rPr>
      </w:pPr>
    </w:p>
    <w:tbl>
      <w:tblPr>
        <w:tblStyle w:val="Grilledutableau"/>
        <w:tblW w:w="0" w:type="auto"/>
        <w:tblLook w:val="04A0" w:firstRow="1" w:lastRow="0" w:firstColumn="1" w:lastColumn="0" w:noHBand="0" w:noVBand="1"/>
      </w:tblPr>
      <w:tblGrid>
        <w:gridCol w:w="4602"/>
        <w:gridCol w:w="4602"/>
      </w:tblGrid>
      <w:tr w:rsidR="00A80AA5" w14:paraId="1F03AC69" w14:textId="77777777" w:rsidTr="00A80AA5">
        <w:tc>
          <w:tcPr>
            <w:tcW w:w="4602" w:type="dxa"/>
          </w:tcPr>
          <w:p w14:paraId="0EE83C94" w14:textId="77777777" w:rsidR="000D46C5" w:rsidRDefault="00A80AA5" w:rsidP="00A80AA5">
            <w:pPr>
              <w:spacing w:after="0"/>
              <w:jc w:val="center"/>
              <w:rPr>
                <w:rFonts w:cs="Tahoma"/>
                <w:b/>
                <w:bCs/>
                <w:sz w:val="18"/>
                <w:szCs w:val="18"/>
              </w:rPr>
            </w:pPr>
            <w:r w:rsidRPr="00A80AA5">
              <w:rPr>
                <w:rFonts w:cs="Tahoma"/>
                <w:b/>
                <w:bCs/>
                <w:sz w:val="18"/>
                <w:szCs w:val="18"/>
              </w:rPr>
              <w:t>Rémunération brute perçue</w:t>
            </w:r>
          </w:p>
          <w:p w14:paraId="7D35A4DE" w14:textId="55F0B8A4" w:rsidR="00A80AA5" w:rsidRPr="00A80AA5" w:rsidRDefault="00A80AA5" w:rsidP="00A80AA5">
            <w:pPr>
              <w:spacing w:after="0"/>
              <w:jc w:val="center"/>
              <w:rPr>
                <w:rFonts w:cs="Tahoma"/>
                <w:b/>
                <w:bCs/>
                <w:sz w:val="18"/>
                <w:szCs w:val="18"/>
              </w:rPr>
            </w:pPr>
            <w:proofErr w:type="gramStart"/>
            <w:r w:rsidRPr="00A80AA5">
              <w:rPr>
                <w:rFonts w:cs="Tahoma"/>
                <w:b/>
                <w:bCs/>
                <w:sz w:val="18"/>
                <w:szCs w:val="18"/>
              </w:rPr>
              <w:t>du</w:t>
            </w:r>
            <w:proofErr w:type="gramEnd"/>
            <w:r w:rsidRPr="00A80AA5">
              <w:rPr>
                <w:rFonts w:cs="Tahoma"/>
                <w:b/>
                <w:bCs/>
                <w:sz w:val="18"/>
                <w:szCs w:val="18"/>
              </w:rPr>
              <w:t xml:space="preserve"> 1</w:t>
            </w:r>
            <w:r w:rsidRPr="00A80AA5">
              <w:rPr>
                <w:rFonts w:cs="Tahoma"/>
                <w:b/>
                <w:bCs/>
                <w:sz w:val="18"/>
                <w:szCs w:val="18"/>
                <w:vertAlign w:val="superscript"/>
              </w:rPr>
              <w:t>er</w:t>
            </w:r>
            <w:r w:rsidRPr="00A80AA5">
              <w:rPr>
                <w:rFonts w:cs="Tahoma"/>
                <w:b/>
                <w:bCs/>
                <w:sz w:val="18"/>
                <w:szCs w:val="18"/>
              </w:rPr>
              <w:t xml:space="preserve"> juillet 2022 au 30 juin 2023</w:t>
            </w:r>
          </w:p>
        </w:tc>
        <w:tc>
          <w:tcPr>
            <w:tcW w:w="4602" w:type="dxa"/>
          </w:tcPr>
          <w:p w14:paraId="12D33DCA" w14:textId="77777777" w:rsidR="000D46C5" w:rsidRDefault="00A80AA5" w:rsidP="00A80AA5">
            <w:pPr>
              <w:spacing w:after="0"/>
              <w:jc w:val="center"/>
              <w:rPr>
                <w:rFonts w:cs="Tahoma"/>
                <w:b/>
                <w:bCs/>
                <w:sz w:val="18"/>
                <w:szCs w:val="18"/>
              </w:rPr>
            </w:pPr>
            <w:r w:rsidRPr="00A80AA5">
              <w:rPr>
                <w:rFonts w:cs="Tahoma"/>
                <w:b/>
                <w:bCs/>
                <w:sz w:val="18"/>
                <w:szCs w:val="18"/>
              </w:rPr>
              <w:t xml:space="preserve">Montant forfaitaire de </w:t>
            </w:r>
          </w:p>
          <w:p w14:paraId="0E02DDCD" w14:textId="7E68BACD" w:rsidR="00A80AA5" w:rsidRPr="00A80AA5" w:rsidRDefault="00A80AA5" w:rsidP="00A80AA5">
            <w:pPr>
              <w:spacing w:after="0"/>
              <w:jc w:val="center"/>
              <w:rPr>
                <w:rFonts w:cs="Tahoma"/>
                <w:b/>
                <w:bCs/>
                <w:sz w:val="18"/>
                <w:szCs w:val="18"/>
              </w:rPr>
            </w:pPr>
            <w:proofErr w:type="gramStart"/>
            <w:r w:rsidRPr="00A80AA5">
              <w:rPr>
                <w:rFonts w:cs="Tahoma"/>
                <w:b/>
                <w:bCs/>
                <w:sz w:val="18"/>
                <w:szCs w:val="18"/>
              </w:rPr>
              <w:t>la</w:t>
            </w:r>
            <w:proofErr w:type="gramEnd"/>
            <w:r w:rsidRPr="00A80AA5">
              <w:rPr>
                <w:rFonts w:cs="Tahoma"/>
                <w:b/>
                <w:bCs/>
                <w:sz w:val="18"/>
                <w:szCs w:val="18"/>
              </w:rPr>
              <w:t xml:space="preserve"> prime de pouvoir d’achat</w:t>
            </w:r>
          </w:p>
        </w:tc>
      </w:tr>
      <w:tr w:rsidR="00A80AA5" w14:paraId="66EAE54E" w14:textId="77777777" w:rsidTr="00732F56">
        <w:tc>
          <w:tcPr>
            <w:tcW w:w="4602" w:type="dxa"/>
            <w:vAlign w:val="center"/>
          </w:tcPr>
          <w:p w14:paraId="6AF9EEB1" w14:textId="2C1A16F9" w:rsidR="00A80AA5" w:rsidRPr="00A80AA5" w:rsidRDefault="00A80AA5" w:rsidP="00000CB3">
            <w:pPr>
              <w:spacing w:after="0"/>
              <w:rPr>
                <w:rFonts w:cs="Tahoma"/>
                <w:sz w:val="18"/>
                <w:szCs w:val="18"/>
              </w:rPr>
            </w:pPr>
            <w:r w:rsidRPr="00A80AA5">
              <w:rPr>
                <w:rFonts w:cs="Tahoma"/>
                <w:sz w:val="18"/>
                <w:szCs w:val="18"/>
              </w:rPr>
              <w:t>Inférieure ou égale à 23 700 €</w:t>
            </w:r>
          </w:p>
        </w:tc>
        <w:tc>
          <w:tcPr>
            <w:tcW w:w="4602" w:type="dxa"/>
          </w:tcPr>
          <w:p w14:paraId="38CABAEE" w14:textId="77777777" w:rsidR="00732F56" w:rsidRDefault="00732F56" w:rsidP="00732F56">
            <w:pPr>
              <w:spacing w:after="0"/>
              <w:jc w:val="center"/>
              <w:rPr>
                <w:rFonts w:cs="Tahoma"/>
                <w:sz w:val="18"/>
                <w:szCs w:val="18"/>
              </w:rPr>
            </w:pPr>
            <w:r w:rsidRPr="00732F56">
              <w:rPr>
                <w:rFonts w:cs="Tahoma"/>
                <w:sz w:val="18"/>
                <w:szCs w:val="18"/>
              </w:rPr>
              <w:t>800 €</w:t>
            </w:r>
            <w:r>
              <w:rPr>
                <w:rFonts w:cs="Tahoma"/>
                <w:sz w:val="18"/>
                <w:szCs w:val="18"/>
              </w:rPr>
              <w:t xml:space="preserve"> </w:t>
            </w:r>
          </w:p>
          <w:p w14:paraId="1146DF22" w14:textId="5472152D" w:rsidR="00A80AA5"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il</w:t>
            </w:r>
            <w:proofErr w:type="gramEnd"/>
            <w:r w:rsidRPr="009D21A4">
              <w:rPr>
                <w:rFonts w:cs="Tahoma"/>
                <w:i/>
                <w:color w:val="FF0000"/>
                <w:kern w:val="20"/>
                <w:sz w:val="18"/>
                <w:szCs w:val="18"/>
              </w:rPr>
              <w:t xml:space="preserve"> s’agit du montant maximal possible pour ce niveau de rémunération, la collectivité peut décider d’allouer un montant forfaitaire inférieur, par exemple 400 €)</w:t>
            </w:r>
          </w:p>
        </w:tc>
      </w:tr>
      <w:tr w:rsidR="00A80AA5" w14:paraId="1082E293" w14:textId="77777777" w:rsidTr="00732F56">
        <w:tc>
          <w:tcPr>
            <w:tcW w:w="4602" w:type="dxa"/>
            <w:vAlign w:val="center"/>
          </w:tcPr>
          <w:p w14:paraId="5C6BC5E3" w14:textId="290BC6B1" w:rsidR="00A80AA5" w:rsidRPr="00A80AA5" w:rsidRDefault="00A80AA5" w:rsidP="00000CB3">
            <w:pPr>
              <w:spacing w:after="0"/>
              <w:rPr>
                <w:rFonts w:cs="Tahoma"/>
                <w:sz w:val="18"/>
                <w:szCs w:val="18"/>
              </w:rPr>
            </w:pPr>
            <w:r w:rsidRPr="00A80AA5">
              <w:rPr>
                <w:rFonts w:cs="Tahoma"/>
                <w:sz w:val="18"/>
                <w:szCs w:val="18"/>
              </w:rPr>
              <w:t>Supérieure à 23 700 € et inférieure ou égale à 27 300 €</w:t>
            </w:r>
          </w:p>
        </w:tc>
        <w:tc>
          <w:tcPr>
            <w:tcW w:w="4602" w:type="dxa"/>
          </w:tcPr>
          <w:p w14:paraId="69D2200F" w14:textId="77777777" w:rsidR="00A80AA5" w:rsidRDefault="00732F56" w:rsidP="00732F56">
            <w:pPr>
              <w:spacing w:after="0"/>
              <w:jc w:val="center"/>
              <w:rPr>
                <w:rFonts w:cs="Tahoma"/>
                <w:sz w:val="18"/>
                <w:szCs w:val="18"/>
              </w:rPr>
            </w:pPr>
            <w:r w:rsidRPr="00732F56">
              <w:rPr>
                <w:rFonts w:cs="Tahoma"/>
                <w:sz w:val="18"/>
                <w:szCs w:val="18"/>
              </w:rPr>
              <w:t>700 €</w:t>
            </w:r>
          </w:p>
          <w:p w14:paraId="2D938C87" w14:textId="3B8D8EB6" w:rsidR="00732F56"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idem</w:t>
            </w:r>
            <w:proofErr w:type="gramEnd"/>
            <w:r w:rsidRPr="009D21A4">
              <w:rPr>
                <w:rFonts w:cs="Tahoma"/>
                <w:i/>
                <w:color w:val="FF0000"/>
                <w:kern w:val="20"/>
                <w:sz w:val="18"/>
                <w:szCs w:val="18"/>
              </w:rPr>
              <w:t xml:space="preserve"> supra, par exemple 350 €)</w:t>
            </w:r>
          </w:p>
        </w:tc>
      </w:tr>
      <w:tr w:rsidR="00A80AA5" w14:paraId="2142A94A" w14:textId="77777777" w:rsidTr="00732F56">
        <w:tc>
          <w:tcPr>
            <w:tcW w:w="4602" w:type="dxa"/>
            <w:vAlign w:val="center"/>
          </w:tcPr>
          <w:p w14:paraId="083AD87A" w14:textId="6F3A0A05" w:rsidR="00A80AA5" w:rsidRDefault="00A80AA5" w:rsidP="00A80AA5">
            <w:pPr>
              <w:spacing w:after="0"/>
              <w:rPr>
                <w:rFonts w:cs="Tahoma"/>
              </w:rPr>
            </w:pPr>
            <w:r w:rsidRPr="00A80AA5">
              <w:rPr>
                <w:rFonts w:cs="Tahoma"/>
                <w:sz w:val="18"/>
                <w:szCs w:val="18"/>
              </w:rPr>
              <w:t>Supérieure à 2</w:t>
            </w:r>
            <w:r>
              <w:rPr>
                <w:rFonts w:cs="Tahoma"/>
                <w:sz w:val="18"/>
                <w:szCs w:val="18"/>
              </w:rPr>
              <w:t>7</w:t>
            </w:r>
            <w:r w:rsidRPr="00A80AA5">
              <w:rPr>
                <w:rFonts w:cs="Tahoma"/>
                <w:sz w:val="18"/>
                <w:szCs w:val="18"/>
              </w:rPr>
              <w:t> </w:t>
            </w:r>
            <w:r>
              <w:rPr>
                <w:rFonts w:cs="Tahoma"/>
                <w:sz w:val="18"/>
                <w:szCs w:val="18"/>
              </w:rPr>
              <w:t>3</w:t>
            </w:r>
            <w:r w:rsidRPr="00A80AA5">
              <w:rPr>
                <w:rFonts w:cs="Tahoma"/>
                <w:sz w:val="18"/>
                <w:szCs w:val="18"/>
              </w:rPr>
              <w:t>00 € et inférieure ou égale à 2</w:t>
            </w:r>
            <w:r w:rsidR="00732F56">
              <w:rPr>
                <w:rFonts w:cs="Tahoma"/>
                <w:sz w:val="18"/>
                <w:szCs w:val="18"/>
              </w:rPr>
              <w:t>9 160</w:t>
            </w:r>
            <w:r w:rsidRPr="00A80AA5">
              <w:rPr>
                <w:rFonts w:cs="Tahoma"/>
                <w:sz w:val="18"/>
                <w:szCs w:val="18"/>
              </w:rPr>
              <w:t xml:space="preserve"> €</w:t>
            </w:r>
          </w:p>
        </w:tc>
        <w:tc>
          <w:tcPr>
            <w:tcW w:w="4602" w:type="dxa"/>
          </w:tcPr>
          <w:p w14:paraId="20346DE4" w14:textId="77777777" w:rsidR="00A80AA5" w:rsidRDefault="00732F56" w:rsidP="00732F56">
            <w:pPr>
              <w:spacing w:after="0"/>
              <w:jc w:val="center"/>
              <w:rPr>
                <w:rFonts w:cs="Tahoma"/>
                <w:sz w:val="18"/>
                <w:szCs w:val="18"/>
              </w:rPr>
            </w:pPr>
            <w:r w:rsidRPr="00732F56">
              <w:rPr>
                <w:rFonts w:cs="Tahoma"/>
                <w:sz w:val="18"/>
                <w:szCs w:val="18"/>
              </w:rPr>
              <w:t>600 €</w:t>
            </w:r>
          </w:p>
          <w:p w14:paraId="548F8734" w14:textId="35BAB1ED" w:rsidR="00732F56"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idem</w:t>
            </w:r>
            <w:proofErr w:type="gramEnd"/>
            <w:r w:rsidRPr="009D21A4">
              <w:rPr>
                <w:rFonts w:cs="Tahoma"/>
                <w:i/>
                <w:color w:val="FF0000"/>
                <w:kern w:val="20"/>
                <w:sz w:val="18"/>
                <w:szCs w:val="18"/>
              </w:rPr>
              <w:t xml:space="preserve"> supra, par exemple 300 €)</w:t>
            </w:r>
          </w:p>
        </w:tc>
      </w:tr>
      <w:tr w:rsidR="00A80AA5" w14:paraId="1542D0D1" w14:textId="77777777" w:rsidTr="00732F56">
        <w:tc>
          <w:tcPr>
            <w:tcW w:w="4602" w:type="dxa"/>
            <w:vAlign w:val="center"/>
          </w:tcPr>
          <w:p w14:paraId="156535BB" w14:textId="69121EFF" w:rsidR="00A80AA5" w:rsidRDefault="00A80AA5" w:rsidP="00A80AA5">
            <w:pPr>
              <w:spacing w:after="0"/>
              <w:rPr>
                <w:rFonts w:cs="Tahoma"/>
              </w:rPr>
            </w:pPr>
            <w:r w:rsidRPr="00A80AA5">
              <w:rPr>
                <w:rFonts w:cs="Tahoma"/>
                <w:sz w:val="18"/>
                <w:szCs w:val="18"/>
              </w:rPr>
              <w:t>Supérieure à 2</w:t>
            </w:r>
            <w:r w:rsidR="00732F56">
              <w:rPr>
                <w:rFonts w:cs="Tahoma"/>
                <w:sz w:val="18"/>
                <w:szCs w:val="18"/>
              </w:rPr>
              <w:t>9 160</w:t>
            </w:r>
            <w:r w:rsidRPr="00A80AA5">
              <w:rPr>
                <w:rFonts w:cs="Tahoma"/>
                <w:sz w:val="18"/>
                <w:szCs w:val="18"/>
              </w:rPr>
              <w:t xml:space="preserve"> € et inférieure ou égale à </w:t>
            </w:r>
            <w:r w:rsidR="00732F56">
              <w:rPr>
                <w:rFonts w:cs="Tahoma"/>
                <w:sz w:val="18"/>
                <w:szCs w:val="18"/>
              </w:rPr>
              <w:t>30 840</w:t>
            </w:r>
            <w:r w:rsidRPr="00A80AA5">
              <w:rPr>
                <w:rFonts w:cs="Tahoma"/>
                <w:sz w:val="18"/>
                <w:szCs w:val="18"/>
              </w:rPr>
              <w:t xml:space="preserve"> €</w:t>
            </w:r>
          </w:p>
        </w:tc>
        <w:tc>
          <w:tcPr>
            <w:tcW w:w="4602" w:type="dxa"/>
          </w:tcPr>
          <w:p w14:paraId="393D941D" w14:textId="77777777" w:rsidR="00A80AA5" w:rsidRDefault="00732F56" w:rsidP="00732F56">
            <w:pPr>
              <w:spacing w:after="0"/>
              <w:jc w:val="center"/>
              <w:rPr>
                <w:rFonts w:cs="Tahoma"/>
                <w:sz w:val="18"/>
                <w:szCs w:val="18"/>
              </w:rPr>
            </w:pPr>
            <w:r w:rsidRPr="00732F56">
              <w:rPr>
                <w:rFonts w:cs="Tahoma"/>
                <w:sz w:val="18"/>
                <w:szCs w:val="18"/>
              </w:rPr>
              <w:t>500 €</w:t>
            </w:r>
          </w:p>
          <w:p w14:paraId="66CB0319" w14:textId="62020DED" w:rsidR="00732F56"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idem</w:t>
            </w:r>
            <w:proofErr w:type="gramEnd"/>
            <w:r w:rsidRPr="009D21A4">
              <w:rPr>
                <w:rFonts w:cs="Tahoma"/>
                <w:i/>
                <w:color w:val="FF0000"/>
                <w:kern w:val="20"/>
                <w:sz w:val="18"/>
                <w:szCs w:val="18"/>
              </w:rPr>
              <w:t xml:space="preserve"> supra, par exemple 250 €)</w:t>
            </w:r>
          </w:p>
        </w:tc>
      </w:tr>
      <w:tr w:rsidR="00A80AA5" w14:paraId="114C943A" w14:textId="77777777" w:rsidTr="00732F56">
        <w:tc>
          <w:tcPr>
            <w:tcW w:w="4602" w:type="dxa"/>
            <w:vAlign w:val="center"/>
          </w:tcPr>
          <w:p w14:paraId="3F51A9A2" w14:textId="6755C570" w:rsidR="00A80AA5" w:rsidRDefault="00A80AA5" w:rsidP="00A80AA5">
            <w:pPr>
              <w:spacing w:after="0"/>
              <w:rPr>
                <w:rFonts w:cs="Tahoma"/>
              </w:rPr>
            </w:pPr>
            <w:r w:rsidRPr="00A80AA5">
              <w:rPr>
                <w:rFonts w:cs="Tahoma"/>
                <w:sz w:val="18"/>
                <w:szCs w:val="18"/>
              </w:rPr>
              <w:t xml:space="preserve">Supérieure à </w:t>
            </w:r>
            <w:r w:rsidR="00732F56">
              <w:rPr>
                <w:rFonts w:cs="Tahoma"/>
                <w:sz w:val="18"/>
                <w:szCs w:val="18"/>
              </w:rPr>
              <w:t>30 840</w:t>
            </w:r>
            <w:r w:rsidRPr="00A80AA5">
              <w:rPr>
                <w:rFonts w:cs="Tahoma"/>
                <w:sz w:val="18"/>
                <w:szCs w:val="18"/>
              </w:rPr>
              <w:t xml:space="preserve"> € et inférieure ou égale à </w:t>
            </w:r>
            <w:r w:rsidR="00732F56">
              <w:rPr>
                <w:rFonts w:cs="Tahoma"/>
                <w:sz w:val="18"/>
                <w:szCs w:val="18"/>
              </w:rPr>
              <w:t>32 280</w:t>
            </w:r>
            <w:r w:rsidRPr="00A80AA5">
              <w:rPr>
                <w:rFonts w:cs="Tahoma"/>
                <w:sz w:val="18"/>
                <w:szCs w:val="18"/>
              </w:rPr>
              <w:t xml:space="preserve"> €</w:t>
            </w:r>
          </w:p>
        </w:tc>
        <w:tc>
          <w:tcPr>
            <w:tcW w:w="4602" w:type="dxa"/>
          </w:tcPr>
          <w:p w14:paraId="53A34869" w14:textId="77777777" w:rsidR="00A80AA5" w:rsidRDefault="00732F56" w:rsidP="00732F56">
            <w:pPr>
              <w:spacing w:after="0"/>
              <w:jc w:val="center"/>
              <w:rPr>
                <w:rFonts w:cs="Tahoma"/>
                <w:sz w:val="18"/>
                <w:szCs w:val="18"/>
              </w:rPr>
            </w:pPr>
            <w:r w:rsidRPr="00732F56">
              <w:rPr>
                <w:rFonts w:cs="Tahoma"/>
                <w:sz w:val="18"/>
                <w:szCs w:val="18"/>
              </w:rPr>
              <w:t>400 €</w:t>
            </w:r>
          </w:p>
          <w:p w14:paraId="3AE57F2C" w14:textId="4C88CBA8" w:rsidR="00732F56"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idem</w:t>
            </w:r>
            <w:proofErr w:type="gramEnd"/>
            <w:r w:rsidRPr="009D21A4">
              <w:rPr>
                <w:rFonts w:cs="Tahoma"/>
                <w:i/>
                <w:color w:val="FF0000"/>
                <w:kern w:val="20"/>
                <w:sz w:val="18"/>
                <w:szCs w:val="18"/>
              </w:rPr>
              <w:t xml:space="preserve"> supra, par exemple 200 €)</w:t>
            </w:r>
          </w:p>
        </w:tc>
      </w:tr>
      <w:tr w:rsidR="00A80AA5" w14:paraId="74777A19" w14:textId="77777777" w:rsidTr="00732F56">
        <w:tc>
          <w:tcPr>
            <w:tcW w:w="4602" w:type="dxa"/>
            <w:vAlign w:val="center"/>
          </w:tcPr>
          <w:p w14:paraId="41DF355C" w14:textId="712DCB58" w:rsidR="00A80AA5" w:rsidRDefault="00A80AA5" w:rsidP="00A80AA5">
            <w:pPr>
              <w:spacing w:after="0"/>
              <w:rPr>
                <w:rFonts w:cs="Tahoma"/>
              </w:rPr>
            </w:pPr>
            <w:r w:rsidRPr="00A80AA5">
              <w:rPr>
                <w:rFonts w:cs="Tahoma"/>
                <w:sz w:val="18"/>
                <w:szCs w:val="18"/>
              </w:rPr>
              <w:t xml:space="preserve">Supérieure à </w:t>
            </w:r>
            <w:r w:rsidR="00732F56">
              <w:rPr>
                <w:rFonts w:cs="Tahoma"/>
                <w:sz w:val="18"/>
                <w:szCs w:val="18"/>
              </w:rPr>
              <w:t>32 280</w:t>
            </w:r>
            <w:r w:rsidRPr="00A80AA5">
              <w:rPr>
                <w:rFonts w:cs="Tahoma"/>
                <w:sz w:val="18"/>
                <w:szCs w:val="18"/>
              </w:rPr>
              <w:t xml:space="preserve"> € et inférieure ou égale à </w:t>
            </w:r>
            <w:r w:rsidR="00732F56">
              <w:rPr>
                <w:rFonts w:cs="Tahoma"/>
                <w:sz w:val="18"/>
                <w:szCs w:val="18"/>
              </w:rPr>
              <w:t>33 600</w:t>
            </w:r>
            <w:r w:rsidRPr="00A80AA5">
              <w:rPr>
                <w:rFonts w:cs="Tahoma"/>
                <w:sz w:val="18"/>
                <w:szCs w:val="18"/>
              </w:rPr>
              <w:t xml:space="preserve"> €</w:t>
            </w:r>
          </w:p>
        </w:tc>
        <w:tc>
          <w:tcPr>
            <w:tcW w:w="4602" w:type="dxa"/>
          </w:tcPr>
          <w:p w14:paraId="2A7BA768" w14:textId="77777777" w:rsidR="00A80AA5" w:rsidRDefault="00732F56" w:rsidP="00732F56">
            <w:pPr>
              <w:spacing w:after="0"/>
              <w:jc w:val="center"/>
              <w:rPr>
                <w:rFonts w:cs="Tahoma"/>
                <w:sz w:val="18"/>
                <w:szCs w:val="18"/>
              </w:rPr>
            </w:pPr>
            <w:r w:rsidRPr="00732F56">
              <w:rPr>
                <w:rFonts w:cs="Tahoma"/>
                <w:sz w:val="18"/>
                <w:szCs w:val="18"/>
              </w:rPr>
              <w:t>350 €</w:t>
            </w:r>
          </w:p>
          <w:p w14:paraId="2B0EDE6B" w14:textId="370528D5" w:rsidR="00732F56"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idem</w:t>
            </w:r>
            <w:proofErr w:type="gramEnd"/>
            <w:r w:rsidRPr="009D21A4">
              <w:rPr>
                <w:rFonts w:cs="Tahoma"/>
                <w:i/>
                <w:color w:val="FF0000"/>
                <w:kern w:val="20"/>
                <w:sz w:val="18"/>
                <w:szCs w:val="18"/>
              </w:rPr>
              <w:t xml:space="preserve"> supra, par exemple 175 €)</w:t>
            </w:r>
          </w:p>
        </w:tc>
      </w:tr>
      <w:tr w:rsidR="00A80AA5" w14:paraId="3234DF7D" w14:textId="77777777" w:rsidTr="00732F56">
        <w:tc>
          <w:tcPr>
            <w:tcW w:w="4602" w:type="dxa"/>
            <w:vAlign w:val="center"/>
          </w:tcPr>
          <w:p w14:paraId="2693F902" w14:textId="124A6AF3" w:rsidR="00A80AA5" w:rsidRDefault="00A80AA5" w:rsidP="00A80AA5">
            <w:pPr>
              <w:spacing w:after="0"/>
              <w:rPr>
                <w:rFonts w:cs="Tahoma"/>
              </w:rPr>
            </w:pPr>
            <w:r w:rsidRPr="00A80AA5">
              <w:rPr>
                <w:rFonts w:cs="Tahoma"/>
                <w:sz w:val="18"/>
                <w:szCs w:val="18"/>
              </w:rPr>
              <w:t xml:space="preserve">Supérieure à </w:t>
            </w:r>
            <w:r w:rsidR="00732F56">
              <w:rPr>
                <w:rFonts w:cs="Tahoma"/>
                <w:sz w:val="18"/>
                <w:szCs w:val="18"/>
              </w:rPr>
              <w:t>33 600</w:t>
            </w:r>
            <w:r w:rsidRPr="00A80AA5">
              <w:rPr>
                <w:rFonts w:cs="Tahoma"/>
                <w:sz w:val="18"/>
                <w:szCs w:val="18"/>
              </w:rPr>
              <w:t xml:space="preserve"> € et inférieure ou égale à </w:t>
            </w:r>
            <w:r w:rsidR="00732F56">
              <w:rPr>
                <w:rFonts w:cs="Tahoma"/>
                <w:sz w:val="18"/>
                <w:szCs w:val="18"/>
              </w:rPr>
              <w:t>39 000</w:t>
            </w:r>
            <w:r w:rsidRPr="00A80AA5">
              <w:rPr>
                <w:rFonts w:cs="Tahoma"/>
                <w:sz w:val="18"/>
                <w:szCs w:val="18"/>
              </w:rPr>
              <w:t xml:space="preserve"> €</w:t>
            </w:r>
          </w:p>
        </w:tc>
        <w:tc>
          <w:tcPr>
            <w:tcW w:w="4602" w:type="dxa"/>
          </w:tcPr>
          <w:p w14:paraId="7720068D" w14:textId="77777777" w:rsidR="00A80AA5" w:rsidRDefault="00732F56" w:rsidP="00732F56">
            <w:pPr>
              <w:spacing w:after="0"/>
              <w:jc w:val="center"/>
              <w:rPr>
                <w:rFonts w:cs="Tahoma"/>
                <w:sz w:val="18"/>
                <w:szCs w:val="18"/>
              </w:rPr>
            </w:pPr>
            <w:r w:rsidRPr="00732F56">
              <w:rPr>
                <w:rFonts w:cs="Tahoma"/>
                <w:sz w:val="18"/>
                <w:szCs w:val="18"/>
              </w:rPr>
              <w:t>300 €</w:t>
            </w:r>
          </w:p>
          <w:p w14:paraId="15C4992C" w14:textId="090AA422" w:rsidR="00732F56" w:rsidRPr="00732F56" w:rsidRDefault="00732F56" w:rsidP="00732F56">
            <w:pPr>
              <w:spacing w:after="0"/>
              <w:jc w:val="center"/>
              <w:rPr>
                <w:rFonts w:cs="Tahoma"/>
                <w:sz w:val="18"/>
                <w:szCs w:val="18"/>
              </w:rPr>
            </w:pPr>
            <w:r w:rsidRPr="009D21A4">
              <w:rPr>
                <w:rFonts w:cs="Tahoma"/>
                <w:i/>
                <w:color w:val="FF0000"/>
                <w:kern w:val="20"/>
                <w:sz w:val="18"/>
                <w:szCs w:val="18"/>
              </w:rPr>
              <w:t>(</w:t>
            </w:r>
            <w:proofErr w:type="gramStart"/>
            <w:r w:rsidRPr="009D21A4">
              <w:rPr>
                <w:rFonts w:cs="Tahoma"/>
                <w:i/>
                <w:color w:val="FF0000"/>
                <w:kern w:val="20"/>
                <w:sz w:val="18"/>
                <w:szCs w:val="18"/>
              </w:rPr>
              <w:t>idem</w:t>
            </w:r>
            <w:proofErr w:type="gramEnd"/>
            <w:r w:rsidRPr="009D21A4">
              <w:rPr>
                <w:rFonts w:cs="Tahoma"/>
                <w:i/>
                <w:color w:val="FF0000"/>
                <w:kern w:val="20"/>
                <w:sz w:val="18"/>
                <w:szCs w:val="18"/>
              </w:rPr>
              <w:t xml:space="preserve"> supra, par exemple 150 €)</w:t>
            </w:r>
          </w:p>
        </w:tc>
      </w:tr>
    </w:tbl>
    <w:p w14:paraId="70737EE9" w14:textId="77777777" w:rsidR="00A80AA5" w:rsidRDefault="00A80AA5" w:rsidP="00000CB3">
      <w:pPr>
        <w:spacing w:after="0"/>
        <w:rPr>
          <w:rFonts w:cs="Tahoma"/>
        </w:rPr>
      </w:pPr>
    </w:p>
    <w:p w14:paraId="7B99E50B" w14:textId="4CDF9AFB" w:rsidR="000D46C5" w:rsidRDefault="000D46C5" w:rsidP="000D46C5">
      <w:pPr>
        <w:pStyle w:val="Paragraphedeliste"/>
        <w:numPr>
          <w:ilvl w:val="0"/>
          <w:numId w:val="10"/>
        </w:numPr>
        <w:spacing w:after="0"/>
        <w:rPr>
          <w:rFonts w:cs="Tahoma"/>
        </w:rPr>
      </w:pPr>
      <w:r>
        <w:rPr>
          <w:rFonts w:cs="Tahoma"/>
        </w:rPr>
        <w:t xml:space="preserve">De décider que cette prime sera versée </w:t>
      </w:r>
      <w:r w:rsidRPr="00A3573F">
        <w:rPr>
          <w:rFonts w:cs="Tahoma"/>
          <w:i/>
          <w:color w:val="00B0F0"/>
          <w:kern w:val="20"/>
        </w:rPr>
        <w:t>en une seule fraction (ou en plusieurs fractions, à préciser)</w:t>
      </w:r>
      <w:r>
        <w:rPr>
          <w:rFonts w:cs="Tahoma"/>
        </w:rPr>
        <w:t xml:space="preserve"> avant le 30 juin 2024 </w:t>
      </w:r>
      <w:r w:rsidRPr="000D46C5">
        <w:rPr>
          <w:rFonts w:cs="Tahoma"/>
          <w:i/>
          <w:iCs/>
          <w:color w:val="FF0000"/>
        </w:rPr>
        <w:t>(une date antérieure peut être décidée)</w:t>
      </w:r>
      <w:r>
        <w:rPr>
          <w:rFonts w:cs="Tahoma"/>
        </w:rPr>
        <w:t>.</w:t>
      </w:r>
    </w:p>
    <w:p w14:paraId="59F4D1BA" w14:textId="77777777" w:rsidR="000D46C5" w:rsidRPr="00F51356" w:rsidRDefault="000D46C5" w:rsidP="000D46C5">
      <w:pPr>
        <w:pStyle w:val="Paragraphedeliste"/>
        <w:spacing w:after="0"/>
        <w:rPr>
          <w:rFonts w:cs="Tahoma"/>
        </w:rPr>
      </w:pPr>
    </w:p>
    <w:p w14:paraId="14C1F52B" w14:textId="10296A05" w:rsidR="008D4406" w:rsidRPr="007B4C69" w:rsidRDefault="008D4406" w:rsidP="000E145B">
      <w:pPr>
        <w:pStyle w:val="Corpsdetexte"/>
        <w:numPr>
          <w:ilvl w:val="0"/>
          <w:numId w:val="10"/>
        </w:numPr>
        <w:rPr>
          <w:rFonts w:ascii="Tahoma" w:hAnsi="Tahoma" w:cs="Tahoma"/>
          <w:kern w:val="20"/>
          <w:sz w:val="20"/>
        </w:rPr>
      </w:pPr>
      <w:r w:rsidRPr="007B4C69">
        <w:rPr>
          <w:rFonts w:ascii="Tahoma" w:hAnsi="Tahoma" w:cs="Tahoma"/>
          <w:kern w:val="20"/>
          <w:sz w:val="20"/>
        </w:rPr>
        <w:t xml:space="preserve">D’autoriser </w:t>
      </w:r>
      <w:r w:rsidRPr="000D46C5">
        <w:rPr>
          <w:rFonts w:ascii="Tahoma" w:hAnsi="Tahoma" w:cs="Tahoma"/>
          <w:i/>
          <w:iCs/>
          <w:color w:val="00B0F0"/>
          <w:kern w:val="20"/>
          <w:sz w:val="20"/>
        </w:rPr>
        <w:t>M</w:t>
      </w:r>
      <w:r w:rsidR="000D46C5" w:rsidRPr="000D46C5">
        <w:rPr>
          <w:rFonts w:ascii="Tahoma" w:hAnsi="Tahoma" w:cs="Tahoma"/>
          <w:i/>
          <w:iCs/>
          <w:color w:val="00B0F0"/>
          <w:kern w:val="20"/>
          <w:sz w:val="20"/>
        </w:rPr>
        <w:t xml:space="preserve">onsieur </w:t>
      </w:r>
      <w:r w:rsidRPr="000D46C5">
        <w:rPr>
          <w:rFonts w:ascii="Tahoma" w:hAnsi="Tahoma" w:cs="Tahoma"/>
          <w:i/>
          <w:iCs/>
          <w:color w:val="00B0F0"/>
          <w:sz w:val="20"/>
        </w:rPr>
        <w:t>(M</w:t>
      </w:r>
      <w:r w:rsidR="000D46C5" w:rsidRPr="000D46C5">
        <w:rPr>
          <w:rFonts w:ascii="Tahoma" w:hAnsi="Tahoma" w:cs="Tahoma"/>
          <w:i/>
          <w:iCs/>
          <w:color w:val="00B0F0"/>
          <w:sz w:val="20"/>
        </w:rPr>
        <w:t>ada</w:t>
      </w:r>
      <w:r w:rsidRPr="000D46C5">
        <w:rPr>
          <w:rFonts w:ascii="Tahoma" w:hAnsi="Tahoma" w:cs="Tahoma"/>
          <w:i/>
          <w:iCs/>
          <w:color w:val="00B0F0"/>
          <w:sz w:val="20"/>
        </w:rPr>
        <w:t xml:space="preserve">me) </w:t>
      </w:r>
      <w:r w:rsidRPr="000D46C5">
        <w:rPr>
          <w:rFonts w:ascii="Tahoma" w:hAnsi="Tahoma" w:cs="Tahoma"/>
          <w:i/>
          <w:iCs/>
          <w:color w:val="00B0F0"/>
          <w:kern w:val="20"/>
          <w:sz w:val="20"/>
        </w:rPr>
        <w:t xml:space="preserve">le Maire </w:t>
      </w:r>
      <w:r w:rsidRPr="000D46C5">
        <w:rPr>
          <w:rFonts w:ascii="Tahoma" w:hAnsi="Tahoma" w:cs="Tahoma"/>
          <w:i/>
          <w:iCs/>
          <w:color w:val="00B0F0"/>
          <w:sz w:val="20"/>
        </w:rPr>
        <w:t>(ou le Président)</w:t>
      </w:r>
      <w:r w:rsidRPr="000D46C5">
        <w:rPr>
          <w:rFonts w:ascii="Tahoma" w:hAnsi="Tahoma" w:cs="Tahoma"/>
          <w:i/>
          <w:color w:val="00B0F0"/>
          <w:sz w:val="20"/>
        </w:rPr>
        <w:t xml:space="preserve"> </w:t>
      </w:r>
      <w:r w:rsidRPr="007B4C69">
        <w:rPr>
          <w:rFonts w:ascii="Tahoma" w:hAnsi="Tahoma" w:cs="Tahoma"/>
          <w:kern w:val="20"/>
          <w:sz w:val="20"/>
        </w:rPr>
        <w:t xml:space="preserve">à </w:t>
      </w:r>
      <w:r w:rsidR="000E145B" w:rsidRPr="007B4C69">
        <w:rPr>
          <w:rFonts w:ascii="Tahoma" w:hAnsi="Tahoma" w:cs="Tahoma"/>
          <w:kern w:val="20"/>
          <w:sz w:val="20"/>
        </w:rPr>
        <w:t xml:space="preserve">mandater les dépenses nécessaires </w:t>
      </w:r>
      <w:r w:rsidR="00C94E74">
        <w:rPr>
          <w:rFonts w:ascii="Tahoma" w:hAnsi="Tahoma" w:cs="Tahoma"/>
          <w:kern w:val="20"/>
          <w:sz w:val="20"/>
        </w:rPr>
        <w:t>au versement de ladite prime.</w:t>
      </w:r>
    </w:p>
    <w:p w14:paraId="06CF2858" w14:textId="77777777" w:rsidR="00892223" w:rsidRPr="00DC3775" w:rsidRDefault="009A4A04" w:rsidP="009A2DFD">
      <w:pPr>
        <w:pStyle w:val="articlecontenu"/>
        <w:spacing w:after="0"/>
        <w:ind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77777777"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 le </w:t>
      </w:r>
      <w:proofErr w:type="gramStart"/>
      <w:r w:rsidRPr="007B4C69">
        <w:rPr>
          <w:rFonts w:cs="Tahoma"/>
          <w:kern w:val="20"/>
        </w:rPr>
        <w:t>…….</w:t>
      </w:r>
      <w:proofErr w:type="gramEnd"/>
      <w:r w:rsidRPr="007B4C69">
        <w:rPr>
          <w:rFonts w:cs="Tahoma"/>
          <w:kern w:val="20"/>
        </w:rPr>
        <w:t>,</w:t>
      </w:r>
    </w:p>
    <w:p w14:paraId="06CF285A" w14:textId="406B889A" w:rsidR="00892223" w:rsidRPr="007B4C69" w:rsidRDefault="00892223" w:rsidP="00A448C7">
      <w:pPr>
        <w:pStyle w:val="articlecontenu"/>
        <w:spacing w:after="0"/>
        <w:ind w:left="5664" w:firstLine="0"/>
        <w:rPr>
          <w:rFonts w:cs="Tahoma"/>
          <w:i/>
          <w:color w:val="00B0F0"/>
        </w:rPr>
      </w:pPr>
      <w:r w:rsidRPr="007B4C69">
        <w:rPr>
          <w:rFonts w:cs="Tahoma"/>
          <w:kern w:val="20"/>
        </w:rPr>
        <w:t xml:space="preserve">Le </w:t>
      </w:r>
      <w:r w:rsidRPr="000D46C5">
        <w:rPr>
          <w:rFonts w:cs="Tahoma"/>
          <w:i/>
          <w:iCs/>
          <w:color w:val="00B0F0"/>
          <w:kern w:val="20"/>
        </w:rPr>
        <w:t xml:space="preserve">Maire </w:t>
      </w:r>
      <w:r w:rsidRPr="000D46C5">
        <w:rPr>
          <w:rFonts w:cs="Tahoma"/>
          <w:i/>
          <w:iCs/>
          <w:color w:val="00B0F0"/>
        </w:rPr>
        <w:t xml:space="preserve">(le </w:t>
      </w:r>
      <w:r w:rsidR="000D46C5" w:rsidRPr="000D46C5">
        <w:rPr>
          <w:rFonts w:cs="Tahoma"/>
          <w:i/>
          <w:iCs/>
          <w:color w:val="00B0F0"/>
        </w:rPr>
        <w:t>P</w:t>
      </w:r>
      <w:r w:rsidRPr="000D46C5">
        <w:rPr>
          <w:rFonts w:cs="Tahoma"/>
          <w:i/>
          <w:iCs/>
          <w:color w:val="00B0F0"/>
        </w:rPr>
        <w:t>résident)</w:t>
      </w:r>
      <w:r w:rsidRPr="007B4C69">
        <w:rPr>
          <w:rFonts w:cs="Tahoma"/>
          <w:i/>
          <w:color w:val="00B0F0"/>
        </w:rPr>
        <w: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 xml:space="preserve">Le </w:t>
      </w:r>
      <w:r w:rsidRPr="000D46C5">
        <w:rPr>
          <w:rFonts w:eastAsia="Calibri" w:cs="Tahoma"/>
          <w:i/>
          <w:iCs/>
          <w:color w:val="00B0F0"/>
          <w:kern w:val="20"/>
          <w:lang w:eastAsia="fr-FR"/>
        </w:rPr>
        <w:t>Maire</w:t>
      </w:r>
      <w:r w:rsidRPr="000D46C5">
        <w:rPr>
          <w:rFonts w:cs="Tahoma"/>
          <w:color w:val="00B0F0"/>
        </w:rPr>
        <w:t xml:space="preserve"> </w:t>
      </w:r>
      <w:r w:rsidRPr="00C74017">
        <w:rPr>
          <w:rFonts w:cs="Tahoma"/>
          <w:i/>
          <w:color w:val="00B0F0"/>
          <w:lang w:eastAsia="fr-FR"/>
        </w:rPr>
        <w:t>(ou le Président),</w:t>
      </w:r>
    </w:p>
    <w:p w14:paraId="06CF2861" w14:textId="77777777" w:rsidR="00937908" w:rsidRPr="00B109B6" w:rsidRDefault="00937908" w:rsidP="00937908">
      <w:pPr>
        <w:pStyle w:val="Paragraphedeliste"/>
        <w:numPr>
          <w:ilvl w:val="0"/>
          <w:numId w:val="13"/>
        </w:numPr>
        <w:spacing w:after="0"/>
        <w:rPr>
          <w:rFonts w:eastAsia="Calibri" w:cs="Tahoma"/>
          <w:color w:val="1F497D" w:themeColor="text2"/>
          <w:kern w:val="20"/>
          <w:sz w:val="16"/>
          <w:szCs w:val="16"/>
        </w:rPr>
      </w:pPr>
      <w:proofErr w:type="gramStart"/>
      <w:r w:rsidRPr="00B109B6">
        <w:rPr>
          <w:rFonts w:eastAsia="Calibri" w:cs="Tahoma"/>
          <w:color w:val="1F497D" w:themeColor="text2"/>
          <w:kern w:val="20"/>
          <w:sz w:val="16"/>
          <w:szCs w:val="16"/>
        </w:rPr>
        <w:t>certifie</w:t>
      </w:r>
      <w:proofErr w:type="gramEnd"/>
      <w:r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Pr="00B109B6">
        <w:rPr>
          <w:rFonts w:eastAsia="Calibri" w:cs="Tahoma"/>
          <w:color w:val="1F497D" w:themeColor="text2"/>
          <w:kern w:val="20"/>
          <w:sz w:val="16"/>
          <w:szCs w:val="16"/>
        </w:rPr>
        <w:t xml:space="preserve"> </w:t>
      </w:r>
    </w:p>
    <w:p w14:paraId="06CF2862" w14:textId="77777777" w:rsidR="00937908" w:rsidRPr="00B109B6" w:rsidRDefault="00937908" w:rsidP="00937908">
      <w:pPr>
        <w:pStyle w:val="recours"/>
        <w:numPr>
          <w:ilvl w:val="0"/>
          <w:numId w:val="12"/>
        </w:numPr>
        <w:ind w:right="0"/>
        <w:rPr>
          <w:rFonts w:eastAsia="Calibri" w:cs="Tahoma"/>
          <w:b/>
          <w:color w:val="1F497D" w:themeColor="text2"/>
          <w:kern w:val="20"/>
          <w:sz w:val="22"/>
          <w:szCs w:val="22"/>
          <w:u w:val="single"/>
          <w:lang w:eastAsia="fr-FR"/>
        </w:rPr>
      </w:pPr>
      <w:proofErr w:type="gramStart"/>
      <w:r w:rsidRPr="00B109B6">
        <w:rPr>
          <w:rFonts w:eastAsia="Calibri" w:cs="Tahoma"/>
          <w:color w:val="1F497D" w:themeColor="text2"/>
          <w:kern w:val="20"/>
          <w:lang w:eastAsia="fr-FR"/>
        </w:rPr>
        <w:t>informe</w:t>
      </w:r>
      <w:proofErr w:type="gramEnd"/>
      <w:r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Pr="00B109B6">
          <w:rPr>
            <w:rFonts w:eastAsia="Calibri" w:cs="Tahoma"/>
            <w:b/>
            <w:color w:val="1F497D" w:themeColor="text2"/>
            <w:kern w:val="20"/>
            <w:u w:val="single"/>
            <w:lang w:eastAsia="fr-FR"/>
          </w:rPr>
          <w:t>www.telerecours.fr</w:t>
        </w:r>
      </w:hyperlink>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Transmis au représentant de l’Etat le : ……….</w:t>
      </w:r>
    </w:p>
    <w:p w14:paraId="29565B1A" w14:textId="1B64F53A" w:rsidR="004449C1" w:rsidRPr="004449C1" w:rsidRDefault="007A0F13" w:rsidP="009A2DFD">
      <w:pPr>
        <w:spacing w:after="0"/>
        <w:outlineLvl w:val="0"/>
        <w:rPr>
          <w:rFonts w:cs="Tahoma"/>
          <w:color w:val="5F497A"/>
          <w:kern w:val="20"/>
          <w:szCs w:val="22"/>
        </w:rPr>
      </w:pPr>
      <w:r w:rsidRPr="007B4C69">
        <w:rPr>
          <w:rFonts w:cs="Tahoma"/>
          <w:kern w:val="20"/>
        </w:rPr>
        <w:t>Publié le : ………………</w:t>
      </w:r>
    </w:p>
    <w:sectPr w:rsidR="004449C1" w:rsidRPr="004449C1"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147CA8" w:rsidRDefault="00147CA8" w:rsidP="00E27274">
      <w:pPr>
        <w:spacing w:after="0"/>
      </w:pPr>
      <w:r>
        <w:separator/>
      </w:r>
    </w:p>
  </w:endnote>
  <w:endnote w:type="continuationSeparator" w:id="0">
    <w:p w14:paraId="514955C7" w14:textId="77777777" w:rsidR="00147CA8" w:rsidRDefault="00147CA8" w:rsidP="00E27274">
      <w:pPr>
        <w:spacing w:after="0"/>
      </w:pPr>
      <w:r>
        <w:continuationSeparator/>
      </w:r>
    </w:p>
  </w:endnote>
  <w:endnote w:type="continuationNotice" w:id="1">
    <w:p w14:paraId="341838DD" w14:textId="77777777" w:rsidR="00147CA8" w:rsidRDefault="00147C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147CA8"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147CA8" w:rsidRPr="000E0521" w:rsidRDefault="00147CA8"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147CA8" w:rsidRPr="00300E86" w:rsidRDefault="00147CA8"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147CA8" w:rsidRPr="00300E86" w:rsidRDefault="00147CA8"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147CA8" w:rsidRPr="009F77D2" w:rsidRDefault="00147CA8"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147CA8"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147CA8" w:rsidRPr="000E0521" w:rsidRDefault="00147CA8"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147CA8" w:rsidRPr="00300E86" w:rsidRDefault="00147CA8"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371E69B4" w:rsidR="00147CA8" w:rsidRPr="00300E86" w:rsidRDefault="00147CA8"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6" w14:textId="77777777" w:rsidR="00147CA8" w:rsidRDefault="00147C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147CA8" w:rsidRDefault="00147CA8" w:rsidP="00E27274">
      <w:pPr>
        <w:spacing w:after="0"/>
      </w:pPr>
      <w:r>
        <w:separator/>
      </w:r>
    </w:p>
  </w:footnote>
  <w:footnote w:type="continuationSeparator" w:id="0">
    <w:p w14:paraId="36644D6B" w14:textId="77777777" w:rsidR="00147CA8" w:rsidRDefault="00147CA8" w:rsidP="00E27274">
      <w:pPr>
        <w:spacing w:after="0"/>
      </w:pPr>
      <w:r>
        <w:continuationSeparator/>
      </w:r>
    </w:p>
  </w:footnote>
  <w:footnote w:type="continuationNotice" w:id="1">
    <w:p w14:paraId="710E1AD5" w14:textId="77777777" w:rsidR="00147CA8" w:rsidRDefault="00147C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41BCA8A4" w:rsidR="00147CA8" w:rsidRDefault="00147CA8">
    <w:pPr>
      <w:pStyle w:val="En-tte"/>
    </w:pPr>
    <w:r>
      <w:rPr>
        <w:noProof/>
      </w:rPr>
      <mc:AlternateContent>
        <mc:Choice Requires="wps">
          <w:drawing>
            <wp:anchor distT="0" distB="0" distL="114300" distR="114300" simplePos="0" relativeHeight="251658242" behindDoc="0" locked="0" layoutInCell="1" allowOverlap="1" wp14:anchorId="06CF2887" wp14:editId="56ACE43C">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147CA8" w:rsidRPr="00300E86" w:rsidRDefault="00147CA8"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30"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147CA8" w:rsidRPr="00300E86" w:rsidRDefault="00147CA8"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2E0EA4E1">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D4E2C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5AD6D54C" w:rsidR="00147CA8" w:rsidRDefault="00147CA8">
    <w:pPr>
      <w:pStyle w:val="En-tte"/>
    </w:pPr>
    <w:r>
      <w:rPr>
        <w:noProof/>
      </w:rPr>
      <mc:AlternateContent>
        <mc:Choice Requires="wpg">
          <w:drawing>
            <wp:anchor distT="0" distB="0" distL="114300" distR="114300" simplePos="0" relativeHeight="251658240" behindDoc="0" locked="0" layoutInCell="1" allowOverlap="1" wp14:anchorId="06CF2889" wp14:editId="36544B3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3"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4"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147CA8" w:rsidRPr="00300E86" w:rsidRDefault="00147CA8"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1"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JDPg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">
              <v:rect id="Rectangle 9" o:spid="_x0000_s1032"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3"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" filled="f" stroked="f">
                <v:textbox style="layout-flow:vertical;mso-layout-flow-alt:bottom-to-top">
                  <w:txbxContent>
                    <w:p w14:paraId="06CF288F" w14:textId="77777777" w:rsidR="00147CA8" w:rsidRPr="00300E86" w:rsidRDefault="00147CA8"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720" w:hanging="360"/>
      </w:pPr>
      <w:rPr>
        <w:rFonts w:ascii="Tahoma" w:eastAsia="Times New Roman" w:hAnsi="Tahoma" w:cs="Tahoma" w:hint="default"/>
        <w:color w:val="365F9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EE4776"/>
    <w:multiLevelType w:val="hybridMultilevel"/>
    <w:tmpl w:val="704A3B50"/>
    <w:lvl w:ilvl="0" w:tplc="D444D600">
      <w:start w:val="3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10F9C"/>
    <w:multiLevelType w:val="hybridMultilevel"/>
    <w:tmpl w:val="AD761E52"/>
    <w:lvl w:ilvl="0" w:tplc="8E34C8D2">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5755BF"/>
    <w:multiLevelType w:val="hybridMultilevel"/>
    <w:tmpl w:val="BC326AD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349083">
    <w:abstractNumId w:val="5"/>
  </w:num>
  <w:num w:numId="2" w16cid:durableId="765734662">
    <w:abstractNumId w:val="27"/>
  </w:num>
  <w:num w:numId="3" w16cid:durableId="1162432200">
    <w:abstractNumId w:val="1"/>
  </w:num>
  <w:num w:numId="4" w16cid:durableId="1674410618">
    <w:abstractNumId w:val="15"/>
  </w:num>
  <w:num w:numId="5" w16cid:durableId="1142430898">
    <w:abstractNumId w:val="26"/>
  </w:num>
  <w:num w:numId="6" w16cid:durableId="1296640658">
    <w:abstractNumId w:val="3"/>
  </w:num>
  <w:num w:numId="7" w16cid:durableId="553585543">
    <w:abstractNumId w:val="2"/>
  </w:num>
  <w:num w:numId="8" w16cid:durableId="140461873">
    <w:abstractNumId w:val="24"/>
  </w:num>
  <w:num w:numId="9" w16cid:durableId="445076747">
    <w:abstractNumId w:val="18"/>
  </w:num>
  <w:num w:numId="10" w16cid:durableId="156776648">
    <w:abstractNumId w:val="21"/>
  </w:num>
  <w:num w:numId="11" w16cid:durableId="472061685">
    <w:abstractNumId w:val="7"/>
  </w:num>
  <w:num w:numId="12" w16cid:durableId="1073508242">
    <w:abstractNumId w:val="9"/>
  </w:num>
  <w:num w:numId="13" w16cid:durableId="1861623">
    <w:abstractNumId w:val="11"/>
  </w:num>
  <w:num w:numId="14" w16cid:durableId="564334904">
    <w:abstractNumId w:val="13"/>
  </w:num>
  <w:num w:numId="15" w16cid:durableId="1499808198">
    <w:abstractNumId w:val="8"/>
  </w:num>
  <w:num w:numId="16" w16cid:durableId="671758070">
    <w:abstractNumId w:val="10"/>
  </w:num>
  <w:num w:numId="17" w16cid:durableId="1093550666">
    <w:abstractNumId w:val="25"/>
  </w:num>
  <w:num w:numId="18" w16cid:durableId="997080348">
    <w:abstractNumId w:val="6"/>
  </w:num>
  <w:num w:numId="19" w16cid:durableId="1810515500">
    <w:abstractNumId w:val="23"/>
  </w:num>
  <w:num w:numId="20" w16cid:durableId="1371567252">
    <w:abstractNumId w:val="19"/>
  </w:num>
  <w:num w:numId="21" w16cid:durableId="2023968428">
    <w:abstractNumId w:val="17"/>
  </w:num>
  <w:num w:numId="22" w16cid:durableId="730466133">
    <w:abstractNumId w:val="12"/>
  </w:num>
  <w:num w:numId="23" w16cid:durableId="1313606948">
    <w:abstractNumId w:val="4"/>
  </w:num>
  <w:num w:numId="24" w16cid:durableId="1309944295">
    <w:abstractNumId w:val="22"/>
  </w:num>
  <w:num w:numId="25" w16cid:durableId="1504130115">
    <w:abstractNumId w:val="29"/>
  </w:num>
  <w:num w:numId="26" w16cid:durableId="106897272">
    <w:abstractNumId w:val="14"/>
  </w:num>
  <w:num w:numId="27" w16cid:durableId="1947812385">
    <w:abstractNumId w:val="0"/>
  </w:num>
  <w:num w:numId="28" w16cid:durableId="43532443">
    <w:abstractNumId w:val="20"/>
  </w:num>
  <w:num w:numId="29" w16cid:durableId="1872644303">
    <w:abstractNumId w:val="28"/>
  </w:num>
  <w:num w:numId="30" w16cid:durableId="514729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CB3"/>
    <w:rsid w:val="0000568F"/>
    <w:rsid w:val="00005EA4"/>
    <w:rsid w:val="0001156C"/>
    <w:rsid w:val="000135BC"/>
    <w:rsid w:val="00023415"/>
    <w:rsid w:val="00024D20"/>
    <w:rsid w:val="000254E7"/>
    <w:rsid w:val="000523EB"/>
    <w:rsid w:val="000540A5"/>
    <w:rsid w:val="000617BC"/>
    <w:rsid w:val="00061B4E"/>
    <w:rsid w:val="00067113"/>
    <w:rsid w:val="000672A8"/>
    <w:rsid w:val="0007072D"/>
    <w:rsid w:val="00081F9A"/>
    <w:rsid w:val="000826FB"/>
    <w:rsid w:val="000C60CF"/>
    <w:rsid w:val="000D1E61"/>
    <w:rsid w:val="000D46C5"/>
    <w:rsid w:val="000D66FB"/>
    <w:rsid w:val="000D6847"/>
    <w:rsid w:val="000E0521"/>
    <w:rsid w:val="000E145B"/>
    <w:rsid w:val="000E240C"/>
    <w:rsid w:val="000E7A9B"/>
    <w:rsid w:val="000F19D6"/>
    <w:rsid w:val="001015C8"/>
    <w:rsid w:val="00101B14"/>
    <w:rsid w:val="001031DF"/>
    <w:rsid w:val="00104900"/>
    <w:rsid w:val="00112575"/>
    <w:rsid w:val="00120FA4"/>
    <w:rsid w:val="0012378C"/>
    <w:rsid w:val="001305E8"/>
    <w:rsid w:val="0014085B"/>
    <w:rsid w:val="00147CA8"/>
    <w:rsid w:val="00156684"/>
    <w:rsid w:val="00156BC9"/>
    <w:rsid w:val="001650B4"/>
    <w:rsid w:val="00187ABA"/>
    <w:rsid w:val="001921C3"/>
    <w:rsid w:val="001A2B9B"/>
    <w:rsid w:val="001A33F8"/>
    <w:rsid w:val="001B1638"/>
    <w:rsid w:val="001B3233"/>
    <w:rsid w:val="001C7386"/>
    <w:rsid w:val="001D0AAE"/>
    <w:rsid w:val="001D1CA5"/>
    <w:rsid w:val="001F1E65"/>
    <w:rsid w:val="00200EA8"/>
    <w:rsid w:val="002118EC"/>
    <w:rsid w:val="00224400"/>
    <w:rsid w:val="00230A2F"/>
    <w:rsid w:val="00234D3A"/>
    <w:rsid w:val="002355F9"/>
    <w:rsid w:val="0024452C"/>
    <w:rsid w:val="002670C7"/>
    <w:rsid w:val="0027021D"/>
    <w:rsid w:val="00273D60"/>
    <w:rsid w:val="00274472"/>
    <w:rsid w:val="0027703E"/>
    <w:rsid w:val="0029196A"/>
    <w:rsid w:val="0029416D"/>
    <w:rsid w:val="00295234"/>
    <w:rsid w:val="002A2ECC"/>
    <w:rsid w:val="002A7B6F"/>
    <w:rsid w:val="002C2864"/>
    <w:rsid w:val="002C66F5"/>
    <w:rsid w:val="002D0FA5"/>
    <w:rsid w:val="002D174B"/>
    <w:rsid w:val="002D741F"/>
    <w:rsid w:val="002E7D34"/>
    <w:rsid w:val="002F4DA3"/>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3110C"/>
    <w:rsid w:val="00347E9F"/>
    <w:rsid w:val="00347EE8"/>
    <w:rsid w:val="0035019F"/>
    <w:rsid w:val="003562D4"/>
    <w:rsid w:val="003605F8"/>
    <w:rsid w:val="00363A20"/>
    <w:rsid w:val="003738F4"/>
    <w:rsid w:val="0037634F"/>
    <w:rsid w:val="00390E22"/>
    <w:rsid w:val="00394E0E"/>
    <w:rsid w:val="003A0E0F"/>
    <w:rsid w:val="003A4757"/>
    <w:rsid w:val="003A4CF2"/>
    <w:rsid w:val="003B23C9"/>
    <w:rsid w:val="003B427A"/>
    <w:rsid w:val="003C28C8"/>
    <w:rsid w:val="003C45F6"/>
    <w:rsid w:val="003D427B"/>
    <w:rsid w:val="003E04AF"/>
    <w:rsid w:val="003F1727"/>
    <w:rsid w:val="003F201A"/>
    <w:rsid w:val="003F3694"/>
    <w:rsid w:val="004268E6"/>
    <w:rsid w:val="00435E08"/>
    <w:rsid w:val="004449C1"/>
    <w:rsid w:val="004546AF"/>
    <w:rsid w:val="00454E48"/>
    <w:rsid w:val="00460474"/>
    <w:rsid w:val="0046171D"/>
    <w:rsid w:val="0046364B"/>
    <w:rsid w:val="00472D72"/>
    <w:rsid w:val="004759D3"/>
    <w:rsid w:val="00475BCA"/>
    <w:rsid w:val="00481D0B"/>
    <w:rsid w:val="00486FCD"/>
    <w:rsid w:val="0049390C"/>
    <w:rsid w:val="004946E8"/>
    <w:rsid w:val="0049599D"/>
    <w:rsid w:val="004972D2"/>
    <w:rsid w:val="004A1EEF"/>
    <w:rsid w:val="004A20D3"/>
    <w:rsid w:val="004A4234"/>
    <w:rsid w:val="004B2628"/>
    <w:rsid w:val="004B6AAD"/>
    <w:rsid w:val="004C1820"/>
    <w:rsid w:val="004C201F"/>
    <w:rsid w:val="004C21FE"/>
    <w:rsid w:val="004C6047"/>
    <w:rsid w:val="004C6127"/>
    <w:rsid w:val="004E5C2D"/>
    <w:rsid w:val="004E612D"/>
    <w:rsid w:val="00506FF3"/>
    <w:rsid w:val="005113C4"/>
    <w:rsid w:val="0051242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75CF"/>
    <w:rsid w:val="005C27D3"/>
    <w:rsid w:val="005D0436"/>
    <w:rsid w:val="005D3424"/>
    <w:rsid w:val="005D420F"/>
    <w:rsid w:val="005D4EC8"/>
    <w:rsid w:val="005E2C0F"/>
    <w:rsid w:val="005E5DFB"/>
    <w:rsid w:val="005E6009"/>
    <w:rsid w:val="005F2619"/>
    <w:rsid w:val="005F431D"/>
    <w:rsid w:val="005F570E"/>
    <w:rsid w:val="006050F7"/>
    <w:rsid w:val="00606515"/>
    <w:rsid w:val="00610F8E"/>
    <w:rsid w:val="006154B9"/>
    <w:rsid w:val="00616443"/>
    <w:rsid w:val="00620544"/>
    <w:rsid w:val="006229F6"/>
    <w:rsid w:val="00624C14"/>
    <w:rsid w:val="00625E80"/>
    <w:rsid w:val="00633073"/>
    <w:rsid w:val="0064254F"/>
    <w:rsid w:val="0065224F"/>
    <w:rsid w:val="00656AB6"/>
    <w:rsid w:val="006572D6"/>
    <w:rsid w:val="00664C5D"/>
    <w:rsid w:val="00672108"/>
    <w:rsid w:val="00673135"/>
    <w:rsid w:val="0067423F"/>
    <w:rsid w:val="00686264"/>
    <w:rsid w:val="006878BA"/>
    <w:rsid w:val="0069592A"/>
    <w:rsid w:val="00696A18"/>
    <w:rsid w:val="006A0934"/>
    <w:rsid w:val="006A2437"/>
    <w:rsid w:val="006A27CA"/>
    <w:rsid w:val="006A4B59"/>
    <w:rsid w:val="006B6EE6"/>
    <w:rsid w:val="006C034B"/>
    <w:rsid w:val="006C0DBB"/>
    <w:rsid w:val="006C3DB4"/>
    <w:rsid w:val="006C56E5"/>
    <w:rsid w:val="006C5717"/>
    <w:rsid w:val="006D1F69"/>
    <w:rsid w:val="006D3A1F"/>
    <w:rsid w:val="006E00EE"/>
    <w:rsid w:val="006E598B"/>
    <w:rsid w:val="006F5128"/>
    <w:rsid w:val="006F548E"/>
    <w:rsid w:val="006F7994"/>
    <w:rsid w:val="00711A70"/>
    <w:rsid w:val="00724830"/>
    <w:rsid w:val="00731877"/>
    <w:rsid w:val="00731B13"/>
    <w:rsid w:val="00731D6B"/>
    <w:rsid w:val="00732F56"/>
    <w:rsid w:val="00735187"/>
    <w:rsid w:val="00741FDC"/>
    <w:rsid w:val="00742F62"/>
    <w:rsid w:val="00743313"/>
    <w:rsid w:val="00744B1D"/>
    <w:rsid w:val="00747BB3"/>
    <w:rsid w:val="00752D63"/>
    <w:rsid w:val="00764B27"/>
    <w:rsid w:val="00781D0D"/>
    <w:rsid w:val="0078478F"/>
    <w:rsid w:val="00785733"/>
    <w:rsid w:val="00797800"/>
    <w:rsid w:val="007A013C"/>
    <w:rsid w:val="007A0F13"/>
    <w:rsid w:val="007A1619"/>
    <w:rsid w:val="007A784B"/>
    <w:rsid w:val="007B4C69"/>
    <w:rsid w:val="007B5339"/>
    <w:rsid w:val="007C0DDE"/>
    <w:rsid w:val="007C13B6"/>
    <w:rsid w:val="007E4093"/>
    <w:rsid w:val="007E5714"/>
    <w:rsid w:val="007E613B"/>
    <w:rsid w:val="007F04A7"/>
    <w:rsid w:val="007F419D"/>
    <w:rsid w:val="007F4C20"/>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1A77"/>
    <w:rsid w:val="00892223"/>
    <w:rsid w:val="00893603"/>
    <w:rsid w:val="0089368B"/>
    <w:rsid w:val="00895F26"/>
    <w:rsid w:val="008976BF"/>
    <w:rsid w:val="008A1380"/>
    <w:rsid w:val="008A42C3"/>
    <w:rsid w:val="008B0081"/>
    <w:rsid w:val="008B01C8"/>
    <w:rsid w:val="008B297C"/>
    <w:rsid w:val="008C1E1A"/>
    <w:rsid w:val="008C6DCE"/>
    <w:rsid w:val="008C720F"/>
    <w:rsid w:val="008D4406"/>
    <w:rsid w:val="008E0864"/>
    <w:rsid w:val="008F3020"/>
    <w:rsid w:val="008F4AFF"/>
    <w:rsid w:val="008F6C3D"/>
    <w:rsid w:val="00904884"/>
    <w:rsid w:val="0090562E"/>
    <w:rsid w:val="00914A3F"/>
    <w:rsid w:val="0092089C"/>
    <w:rsid w:val="00921494"/>
    <w:rsid w:val="00922079"/>
    <w:rsid w:val="00923DFF"/>
    <w:rsid w:val="009270D3"/>
    <w:rsid w:val="009340C8"/>
    <w:rsid w:val="00934207"/>
    <w:rsid w:val="009350DE"/>
    <w:rsid w:val="0093575D"/>
    <w:rsid w:val="00937908"/>
    <w:rsid w:val="00950776"/>
    <w:rsid w:val="00960606"/>
    <w:rsid w:val="00961093"/>
    <w:rsid w:val="009629B2"/>
    <w:rsid w:val="009864FE"/>
    <w:rsid w:val="009A2DFD"/>
    <w:rsid w:val="009A4A04"/>
    <w:rsid w:val="009C1BC5"/>
    <w:rsid w:val="009C31CB"/>
    <w:rsid w:val="009C4066"/>
    <w:rsid w:val="009D1A9E"/>
    <w:rsid w:val="009D21A4"/>
    <w:rsid w:val="009D284A"/>
    <w:rsid w:val="009D336C"/>
    <w:rsid w:val="009D4A09"/>
    <w:rsid w:val="009D56A5"/>
    <w:rsid w:val="009D6B9A"/>
    <w:rsid w:val="009D75DA"/>
    <w:rsid w:val="009F6243"/>
    <w:rsid w:val="009F77D2"/>
    <w:rsid w:val="00A215FD"/>
    <w:rsid w:val="00A24B37"/>
    <w:rsid w:val="00A26C03"/>
    <w:rsid w:val="00A325EE"/>
    <w:rsid w:val="00A337C2"/>
    <w:rsid w:val="00A3573F"/>
    <w:rsid w:val="00A37282"/>
    <w:rsid w:val="00A41580"/>
    <w:rsid w:val="00A424B4"/>
    <w:rsid w:val="00A431D7"/>
    <w:rsid w:val="00A448C7"/>
    <w:rsid w:val="00A51CE4"/>
    <w:rsid w:val="00A55DB8"/>
    <w:rsid w:val="00A60B25"/>
    <w:rsid w:val="00A64509"/>
    <w:rsid w:val="00A74E09"/>
    <w:rsid w:val="00A80AA5"/>
    <w:rsid w:val="00A82D77"/>
    <w:rsid w:val="00A84980"/>
    <w:rsid w:val="00A924F9"/>
    <w:rsid w:val="00A937FE"/>
    <w:rsid w:val="00AA2380"/>
    <w:rsid w:val="00AB0E99"/>
    <w:rsid w:val="00AB10EC"/>
    <w:rsid w:val="00AB1E9D"/>
    <w:rsid w:val="00AC14A1"/>
    <w:rsid w:val="00AC681E"/>
    <w:rsid w:val="00AD34DF"/>
    <w:rsid w:val="00AD7E6C"/>
    <w:rsid w:val="00AE0766"/>
    <w:rsid w:val="00AF1999"/>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7CFE"/>
    <w:rsid w:val="00BB0041"/>
    <w:rsid w:val="00BB28B9"/>
    <w:rsid w:val="00BC4DD7"/>
    <w:rsid w:val="00BC60A8"/>
    <w:rsid w:val="00BD6387"/>
    <w:rsid w:val="00BE0012"/>
    <w:rsid w:val="00BE2499"/>
    <w:rsid w:val="00BF1D1D"/>
    <w:rsid w:val="00C00BA0"/>
    <w:rsid w:val="00C102DE"/>
    <w:rsid w:val="00C12D6A"/>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85E37"/>
    <w:rsid w:val="00C90BA4"/>
    <w:rsid w:val="00C90F4C"/>
    <w:rsid w:val="00C92CD8"/>
    <w:rsid w:val="00C94E74"/>
    <w:rsid w:val="00CA0F9D"/>
    <w:rsid w:val="00CA27FF"/>
    <w:rsid w:val="00CB0411"/>
    <w:rsid w:val="00CB1AED"/>
    <w:rsid w:val="00CB28C3"/>
    <w:rsid w:val="00CB3AF3"/>
    <w:rsid w:val="00CD1B3E"/>
    <w:rsid w:val="00CD314E"/>
    <w:rsid w:val="00CE0922"/>
    <w:rsid w:val="00CF1532"/>
    <w:rsid w:val="00CF54F8"/>
    <w:rsid w:val="00D352A5"/>
    <w:rsid w:val="00D41CAA"/>
    <w:rsid w:val="00D44124"/>
    <w:rsid w:val="00D54E63"/>
    <w:rsid w:val="00D562F8"/>
    <w:rsid w:val="00D6002B"/>
    <w:rsid w:val="00D60D81"/>
    <w:rsid w:val="00D61E66"/>
    <w:rsid w:val="00D62B9C"/>
    <w:rsid w:val="00D651B7"/>
    <w:rsid w:val="00D701AE"/>
    <w:rsid w:val="00D70C3A"/>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1837"/>
    <w:rsid w:val="00DF7665"/>
    <w:rsid w:val="00E00428"/>
    <w:rsid w:val="00E042B0"/>
    <w:rsid w:val="00E104AA"/>
    <w:rsid w:val="00E16CC2"/>
    <w:rsid w:val="00E22537"/>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261B"/>
    <w:rsid w:val="00EA4CE8"/>
    <w:rsid w:val="00EB0E0A"/>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1356"/>
    <w:rsid w:val="00F5228F"/>
    <w:rsid w:val="00F524FB"/>
    <w:rsid w:val="00F578EF"/>
    <w:rsid w:val="00F57B2B"/>
    <w:rsid w:val="00F60C29"/>
    <w:rsid w:val="00F64E92"/>
    <w:rsid w:val="00F71086"/>
    <w:rsid w:val="00F73EE0"/>
    <w:rsid w:val="00F80B36"/>
    <w:rsid w:val="00F829FA"/>
    <w:rsid w:val="00F90097"/>
    <w:rsid w:val="00F903A9"/>
    <w:rsid w:val="00F96732"/>
    <w:rsid w:val="00F96B17"/>
    <w:rsid w:val="00FA18BF"/>
    <w:rsid w:val="00FA4911"/>
    <w:rsid w:val="00FA51EB"/>
    <w:rsid w:val="00FC12EF"/>
    <w:rsid w:val="00FD07CB"/>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16D"/>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78139528">
      <w:bodyDiv w:val="1"/>
      <w:marLeft w:val="0"/>
      <w:marRight w:val="0"/>
      <w:marTop w:val="0"/>
      <w:marBottom w:val="0"/>
      <w:divBdr>
        <w:top w:val="none" w:sz="0" w:space="0" w:color="auto"/>
        <w:left w:val="none" w:sz="0" w:space="0" w:color="auto"/>
        <w:bottom w:val="none" w:sz="0" w:space="0" w:color="auto"/>
        <w:right w:val="none" w:sz="0" w:space="0" w:color="auto"/>
      </w:divBdr>
    </w:div>
    <w:div w:id="105391538">
      <w:bodyDiv w:val="1"/>
      <w:marLeft w:val="0"/>
      <w:marRight w:val="0"/>
      <w:marTop w:val="0"/>
      <w:marBottom w:val="0"/>
      <w:divBdr>
        <w:top w:val="none" w:sz="0" w:space="0" w:color="auto"/>
        <w:left w:val="none" w:sz="0" w:space="0" w:color="auto"/>
        <w:bottom w:val="none" w:sz="0" w:space="0" w:color="auto"/>
        <w:right w:val="none" w:sz="0" w:space="0" w:color="auto"/>
      </w:divBdr>
    </w:div>
    <w:div w:id="254482688">
      <w:bodyDiv w:val="1"/>
      <w:marLeft w:val="0"/>
      <w:marRight w:val="0"/>
      <w:marTop w:val="0"/>
      <w:marBottom w:val="0"/>
      <w:divBdr>
        <w:top w:val="none" w:sz="0" w:space="0" w:color="auto"/>
        <w:left w:val="none" w:sz="0" w:space="0" w:color="auto"/>
        <w:bottom w:val="none" w:sz="0" w:space="0" w:color="auto"/>
        <w:right w:val="none" w:sz="0" w:space="0" w:color="auto"/>
      </w:divBdr>
    </w:div>
    <w:div w:id="522133750">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136950742">
      <w:bodyDiv w:val="1"/>
      <w:marLeft w:val="0"/>
      <w:marRight w:val="0"/>
      <w:marTop w:val="0"/>
      <w:marBottom w:val="0"/>
      <w:divBdr>
        <w:top w:val="none" w:sz="0" w:space="0" w:color="auto"/>
        <w:left w:val="none" w:sz="0" w:space="0" w:color="auto"/>
        <w:bottom w:val="none" w:sz="0" w:space="0" w:color="auto"/>
        <w:right w:val="none" w:sz="0" w:space="0" w:color="auto"/>
      </w:divBdr>
    </w:div>
    <w:div w:id="1317606428">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98782-EE2F-40DC-A8FB-65B492BF91C5}">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cac6c717-0427-41df-8cbf-34a1150a5cf1"/>
    <ds:schemaRef ds:uri="http://schemas.microsoft.com/office/2006/metadata/properties"/>
  </ds:schemaRefs>
</ds:datastoreItem>
</file>

<file path=customXml/itemProps3.xml><?xml version="1.0" encoding="utf-8"?>
<ds:datastoreItem xmlns:ds="http://schemas.openxmlformats.org/officeDocument/2006/customXml" ds:itemID="{DD85EBF3-80C8-4002-ABD8-7B0C89DCBAAA}">
  <ds:schemaRefs>
    <ds:schemaRef ds:uri="http://schemas.openxmlformats.org/officeDocument/2006/bibliography"/>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COMBARET Nathalie</cp:lastModifiedBy>
  <cp:revision>10</cp:revision>
  <cp:lastPrinted>2019-02-22T10:27:00Z</cp:lastPrinted>
  <dcterms:created xsi:type="dcterms:W3CDTF">2023-11-02T08:07:00Z</dcterms:created>
  <dcterms:modified xsi:type="dcterms:W3CDTF">2023-11-02T11:32:00Z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